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43D7" w:rsidRPr="00E656E0" w:rsidRDefault="008502BD">
      <w:pPr>
        <w:spacing w:after="0" w:line="259" w:lineRule="auto"/>
        <w:ind w:left="-15" w:firstLine="0"/>
        <w:rPr>
          <w:sz w:val="22"/>
          <w:szCs w:val="22"/>
        </w:rPr>
      </w:pPr>
      <w:r>
        <w:rPr>
          <w:rFonts w:ascii="Garamond" w:hAnsi="Garamond" w:cs="Garamond"/>
          <w:noProof/>
          <w:color w:val="E15B27"/>
          <w:kern w:val="0"/>
          <w:sz w:val="22"/>
          <w:szCs w:val="22"/>
          <w:u w:color="000000"/>
        </w:rPr>
        <w:drawing>
          <wp:anchor distT="0" distB="0" distL="114300" distR="114300" simplePos="0" relativeHeight="251659264" behindDoc="0" locked="0" layoutInCell="1" allowOverlap="1" wp14:anchorId="0AF33301" wp14:editId="2EF85AB2">
            <wp:simplePos x="0" y="0"/>
            <wp:positionH relativeFrom="column">
              <wp:posOffset>5186050</wp:posOffset>
            </wp:positionH>
            <wp:positionV relativeFrom="page">
              <wp:posOffset>680613</wp:posOffset>
            </wp:positionV>
            <wp:extent cx="809625" cy="988695"/>
            <wp:effectExtent l="0" t="0" r="3175" b="1905"/>
            <wp:wrapThrough wrapText="bothSides">
              <wp:wrapPolygon edited="0">
                <wp:start x="0" y="0"/>
                <wp:lineTo x="0" y="21364"/>
                <wp:lineTo x="21346" y="21364"/>
                <wp:lineTo x="21346" y="0"/>
                <wp:lineTo x="0" y="0"/>
              </wp:wrapPolygon>
            </wp:wrapThrough>
            <wp:docPr id="19149280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928005" name="Image 19149280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6E0">
        <w:rPr>
          <w:b/>
          <w:sz w:val="22"/>
          <w:szCs w:val="22"/>
        </w:rPr>
        <w:t>Ma</w:t>
      </w:r>
      <w:r w:rsidR="00E64CEC">
        <w:rPr>
          <w:b/>
          <w:sz w:val="22"/>
          <w:szCs w:val="22"/>
        </w:rPr>
        <w:t>r</w:t>
      </w:r>
      <w:r w:rsidRPr="00E656E0">
        <w:rPr>
          <w:b/>
          <w:sz w:val="22"/>
          <w:szCs w:val="22"/>
        </w:rPr>
        <w:t xml:space="preserve">ie Rain </w:t>
      </w:r>
    </w:p>
    <w:p w:rsidR="009B0861" w:rsidRPr="00E656E0" w:rsidRDefault="00000000" w:rsidP="009B0861">
      <w:pPr>
        <w:spacing w:after="0" w:line="262" w:lineRule="auto"/>
        <w:ind w:left="-6" w:hanging="11"/>
        <w:rPr>
          <w:sz w:val="22"/>
          <w:szCs w:val="22"/>
        </w:rPr>
      </w:pPr>
      <w:r w:rsidRPr="00E656E0">
        <w:rPr>
          <w:sz w:val="22"/>
          <w:szCs w:val="22"/>
        </w:rPr>
        <w:t xml:space="preserve">Née le 15.06.1990 </w:t>
      </w:r>
    </w:p>
    <w:p w:rsidR="007143D7" w:rsidRPr="00E656E0" w:rsidRDefault="00000000" w:rsidP="009B0861">
      <w:pPr>
        <w:spacing w:after="0" w:line="262" w:lineRule="auto"/>
        <w:ind w:left="-6" w:hanging="11"/>
        <w:rPr>
          <w:sz w:val="22"/>
          <w:szCs w:val="22"/>
        </w:rPr>
      </w:pPr>
      <w:r w:rsidRPr="00E656E0">
        <w:rPr>
          <w:b/>
          <w:sz w:val="22"/>
          <w:szCs w:val="22"/>
        </w:rPr>
        <w:t>Adresse :</w:t>
      </w:r>
      <w:r w:rsidRPr="00E656E0">
        <w:rPr>
          <w:sz w:val="22"/>
          <w:szCs w:val="22"/>
        </w:rPr>
        <w:t xml:space="preserve"> 5 rue </w:t>
      </w:r>
      <w:proofErr w:type="spellStart"/>
      <w:r w:rsidRPr="00E656E0">
        <w:rPr>
          <w:sz w:val="22"/>
          <w:szCs w:val="22"/>
        </w:rPr>
        <w:t>Allart</w:t>
      </w:r>
      <w:proofErr w:type="spellEnd"/>
      <w:r w:rsidRPr="00E656E0">
        <w:rPr>
          <w:sz w:val="22"/>
          <w:szCs w:val="22"/>
        </w:rPr>
        <w:t xml:space="preserve"> 80000 Amiens  </w:t>
      </w:r>
    </w:p>
    <w:p w:rsidR="007143D7" w:rsidRPr="00E656E0" w:rsidRDefault="00000000">
      <w:pPr>
        <w:spacing w:after="0" w:line="259" w:lineRule="auto"/>
        <w:ind w:left="0" w:firstLine="0"/>
        <w:rPr>
          <w:sz w:val="22"/>
          <w:szCs w:val="22"/>
        </w:rPr>
      </w:pPr>
      <w:r w:rsidRPr="00E656E0">
        <w:rPr>
          <w:b/>
          <w:sz w:val="22"/>
          <w:szCs w:val="22"/>
        </w:rPr>
        <w:t xml:space="preserve">Email : </w:t>
      </w:r>
      <w:r w:rsidRPr="00E656E0">
        <w:rPr>
          <w:color w:val="0075B9"/>
          <w:sz w:val="22"/>
          <w:szCs w:val="22"/>
          <w:u w:val="single" w:color="0075B9"/>
        </w:rPr>
        <w:t>rain.marie15@gmail.com</w:t>
      </w:r>
      <w:r w:rsidRPr="00E656E0">
        <w:rPr>
          <w:color w:val="0075B9"/>
          <w:sz w:val="22"/>
          <w:szCs w:val="22"/>
        </w:rPr>
        <w:t xml:space="preserve">  </w:t>
      </w:r>
    </w:p>
    <w:p w:rsidR="007143D7" w:rsidRPr="00E656E0" w:rsidRDefault="00000000">
      <w:pPr>
        <w:spacing w:after="309"/>
        <w:ind w:left="-5" w:right="0"/>
        <w:rPr>
          <w:sz w:val="22"/>
          <w:szCs w:val="22"/>
        </w:rPr>
      </w:pPr>
      <w:r w:rsidRPr="00E656E0">
        <w:rPr>
          <w:b/>
          <w:sz w:val="22"/>
          <w:szCs w:val="22"/>
        </w:rPr>
        <w:t xml:space="preserve">Tél. : </w:t>
      </w:r>
      <w:r w:rsidRPr="00E656E0">
        <w:rPr>
          <w:sz w:val="22"/>
          <w:szCs w:val="22"/>
        </w:rPr>
        <w:t xml:space="preserve">07.70.10.24.41 </w:t>
      </w:r>
    </w:p>
    <w:p w:rsidR="007143D7" w:rsidRDefault="00000000">
      <w:pPr>
        <w:pStyle w:val="Titre1"/>
      </w:pPr>
      <w:r>
        <w:t>FORMATION</w:t>
      </w:r>
    </w:p>
    <w:p w:rsidR="007143D7" w:rsidRPr="00E656E0" w:rsidRDefault="00000000" w:rsidP="009B0861">
      <w:pPr>
        <w:ind w:left="-5" w:right="0"/>
        <w:jc w:val="both"/>
        <w:rPr>
          <w:sz w:val="22"/>
          <w:szCs w:val="22"/>
        </w:rPr>
      </w:pPr>
      <w:r w:rsidRPr="00E656E0">
        <w:rPr>
          <w:b/>
          <w:sz w:val="22"/>
          <w:szCs w:val="22"/>
        </w:rPr>
        <w:t xml:space="preserve">Doctorat droit privé </w:t>
      </w:r>
      <w:r w:rsidRPr="00E656E0">
        <w:rPr>
          <w:sz w:val="22"/>
          <w:szCs w:val="22"/>
        </w:rPr>
        <w:t xml:space="preserve">- spécialité droit des successions - </w:t>
      </w:r>
      <w:r w:rsidR="00E656E0" w:rsidRPr="00E656E0">
        <w:rPr>
          <w:sz w:val="22"/>
          <w:szCs w:val="22"/>
        </w:rPr>
        <w:t>Université</w:t>
      </w:r>
      <w:r w:rsidRPr="00E656E0">
        <w:rPr>
          <w:sz w:val="22"/>
          <w:szCs w:val="22"/>
        </w:rPr>
        <w:t xml:space="preserve"> Paris Cité, Malakoff. </w:t>
      </w:r>
    </w:p>
    <w:p w:rsidR="007143D7" w:rsidRPr="00E656E0" w:rsidRDefault="00000000" w:rsidP="009B0861">
      <w:pPr>
        <w:spacing w:after="0" w:line="259" w:lineRule="auto"/>
        <w:ind w:left="715" w:right="-15" w:hanging="730"/>
        <w:jc w:val="both"/>
        <w:rPr>
          <w:sz w:val="22"/>
          <w:szCs w:val="22"/>
        </w:rPr>
      </w:pPr>
      <w:r w:rsidRPr="00E656E0">
        <w:rPr>
          <w:b/>
          <w:sz w:val="22"/>
          <w:szCs w:val="22"/>
        </w:rPr>
        <w:t xml:space="preserve">Master 2 - droit des obligations civiles et commerciales </w:t>
      </w:r>
      <w:r w:rsidRPr="00E656E0">
        <w:rPr>
          <w:sz w:val="22"/>
          <w:szCs w:val="22"/>
        </w:rPr>
        <w:t xml:space="preserve">- mention assez bien </w:t>
      </w:r>
      <w:r w:rsidR="00E656E0" w:rsidRPr="00E656E0">
        <w:rPr>
          <w:sz w:val="22"/>
          <w:szCs w:val="22"/>
        </w:rPr>
        <w:t xml:space="preserve">(14,459) </w:t>
      </w:r>
      <w:r w:rsidRPr="00E656E0">
        <w:rPr>
          <w:sz w:val="22"/>
          <w:szCs w:val="22"/>
        </w:rPr>
        <w:t>- Univ</w:t>
      </w:r>
      <w:r w:rsidR="00E656E0" w:rsidRPr="00E656E0">
        <w:rPr>
          <w:sz w:val="22"/>
          <w:szCs w:val="22"/>
        </w:rPr>
        <w:t>ersité</w:t>
      </w:r>
      <w:r w:rsidRPr="00E656E0">
        <w:rPr>
          <w:sz w:val="22"/>
          <w:szCs w:val="22"/>
        </w:rPr>
        <w:t xml:space="preserve"> Paris Descartes, Malakoff. </w:t>
      </w:r>
    </w:p>
    <w:p w:rsidR="007143D7" w:rsidRPr="00E656E0" w:rsidRDefault="00000000" w:rsidP="009B0861">
      <w:pPr>
        <w:ind w:left="-5" w:right="0"/>
        <w:jc w:val="both"/>
        <w:rPr>
          <w:sz w:val="22"/>
          <w:szCs w:val="22"/>
        </w:rPr>
      </w:pPr>
      <w:r w:rsidRPr="00E656E0">
        <w:rPr>
          <w:b/>
          <w:sz w:val="22"/>
          <w:szCs w:val="22"/>
        </w:rPr>
        <w:t xml:space="preserve">Master 1 Droit privé </w:t>
      </w:r>
      <w:r w:rsidRPr="00E656E0">
        <w:rPr>
          <w:sz w:val="22"/>
          <w:szCs w:val="22"/>
        </w:rPr>
        <w:t xml:space="preserve">- mention bien </w:t>
      </w:r>
      <w:r w:rsidR="00E656E0" w:rsidRPr="00E656E0">
        <w:rPr>
          <w:sz w:val="22"/>
          <w:szCs w:val="22"/>
        </w:rPr>
        <w:t xml:space="preserve">(15,611) </w:t>
      </w:r>
      <w:r w:rsidRPr="00E656E0">
        <w:rPr>
          <w:sz w:val="22"/>
          <w:szCs w:val="22"/>
        </w:rPr>
        <w:t xml:space="preserve">- Université Paris Descartes, Malakoff. </w:t>
      </w:r>
    </w:p>
    <w:p w:rsidR="007143D7" w:rsidRPr="00E656E0" w:rsidRDefault="00000000" w:rsidP="009B0861">
      <w:pPr>
        <w:ind w:left="-5" w:right="0"/>
        <w:jc w:val="both"/>
        <w:rPr>
          <w:sz w:val="22"/>
          <w:szCs w:val="22"/>
        </w:rPr>
      </w:pPr>
      <w:r w:rsidRPr="00E656E0">
        <w:rPr>
          <w:b/>
          <w:sz w:val="22"/>
          <w:szCs w:val="22"/>
        </w:rPr>
        <w:t>Licence droit</w:t>
      </w:r>
      <w:r w:rsidRPr="00E656E0">
        <w:rPr>
          <w:sz w:val="22"/>
          <w:szCs w:val="22"/>
        </w:rPr>
        <w:t xml:space="preserve"> - mention assez bien </w:t>
      </w:r>
      <w:r w:rsidR="00E656E0" w:rsidRPr="00E656E0">
        <w:rPr>
          <w:color w:val="000000" w:themeColor="text1"/>
          <w:kern w:val="0"/>
          <w:sz w:val="22"/>
          <w:szCs w:val="22"/>
        </w:rPr>
        <w:t xml:space="preserve">(13,036) </w:t>
      </w:r>
      <w:r w:rsidRPr="00E656E0">
        <w:rPr>
          <w:sz w:val="22"/>
          <w:szCs w:val="22"/>
        </w:rPr>
        <w:t xml:space="preserve">- Université Paris Descartes, Malakoff. </w:t>
      </w:r>
    </w:p>
    <w:p w:rsidR="007143D7" w:rsidRPr="00E656E0" w:rsidRDefault="00000000" w:rsidP="00E656E0">
      <w:pPr>
        <w:ind w:left="-5" w:right="0"/>
        <w:jc w:val="both"/>
        <w:rPr>
          <w:sz w:val="22"/>
          <w:szCs w:val="22"/>
        </w:rPr>
      </w:pPr>
      <w:r w:rsidRPr="00E656E0">
        <w:rPr>
          <w:b/>
          <w:sz w:val="22"/>
          <w:szCs w:val="22"/>
        </w:rPr>
        <w:t>Baccalauréat Scientifique -</w:t>
      </w:r>
      <w:r w:rsidRPr="00E656E0">
        <w:rPr>
          <w:sz w:val="22"/>
          <w:szCs w:val="22"/>
        </w:rPr>
        <w:t xml:space="preserve"> spécialité mathématiques - Lycée Honoré de Balzac, Mitry-Mory. </w:t>
      </w:r>
      <w:r w:rsidR="00E656E0">
        <w:rPr>
          <w:sz w:val="22"/>
          <w:szCs w:val="22"/>
        </w:rPr>
        <w:br/>
      </w:r>
    </w:p>
    <w:p w:rsidR="007143D7" w:rsidRDefault="00000000">
      <w:pPr>
        <w:pStyle w:val="Titre1"/>
      </w:pPr>
      <w:r>
        <w:t>EXPERIENCE PROFESSIONNELLE</w:t>
      </w:r>
    </w:p>
    <w:p w:rsidR="00B81001" w:rsidRPr="00B81001" w:rsidRDefault="00B81001" w:rsidP="00520339">
      <w:pPr>
        <w:ind w:left="-5" w:right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2025 :</w:t>
      </w:r>
      <w:r>
        <w:rPr>
          <w:bCs/>
          <w:sz w:val="22"/>
          <w:szCs w:val="22"/>
        </w:rPr>
        <w:t xml:space="preserve"> Qualification aux fonctions de maître de conférence</w:t>
      </w:r>
    </w:p>
    <w:p w:rsidR="007143D7" w:rsidRPr="00E656E0" w:rsidRDefault="00000000" w:rsidP="00520339">
      <w:pPr>
        <w:ind w:left="-5" w:right="0"/>
        <w:jc w:val="both"/>
        <w:rPr>
          <w:sz w:val="22"/>
          <w:szCs w:val="22"/>
        </w:rPr>
      </w:pPr>
      <w:r w:rsidRPr="00E656E0">
        <w:rPr>
          <w:b/>
          <w:sz w:val="22"/>
          <w:szCs w:val="22"/>
        </w:rPr>
        <w:t xml:space="preserve">2022-2025 : </w:t>
      </w:r>
      <w:r w:rsidRPr="00E656E0">
        <w:rPr>
          <w:sz w:val="22"/>
          <w:szCs w:val="22"/>
        </w:rPr>
        <w:t>Enseignant contractuel - Travaux dirigés et cours magistraux - Univ</w:t>
      </w:r>
      <w:r w:rsidR="00E656E0">
        <w:rPr>
          <w:sz w:val="22"/>
          <w:szCs w:val="22"/>
        </w:rPr>
        <w:t>ersité</w:t>
      </w:r>
      <w:r w:rsidRPr="00E656E0">
        <w:rPr>
          <w:sz w:val="22"/>
          <w:szCs w:val="22"/>
        </w:rPr>
        <w:t xml:space="preserve"> Paris Cité. </w:t>
      </w:r>
    </w:p>
    <w:p w:rsidR="007143D7" w:rsidRPr="00E656E0" w:rsidRDefault="00000000" w:rsidP="00520339">
      <w:pPr>
        <w:ind w:left="-5" w:right="0"/>
        <w:jc w:val="both"/>
        <w:rPr>
          <w:sz w:val="22"/>
          <w:szCs w:val="22"/>
        </w:rPr>
      </w:pPr>
      <w:r w:rsidRPr="00E656E0">
        <w:rPr>
          <w:b/>
          <w:sz w:val="22"/>
          <w:szCs w:val="22"/>
        </w:rPr>
        <w:t xml:space="preserve">2023-2024 : </w:t>
      </w:r>
      <w:r w:rsidRPr="00E656E0">
        <w:rPr>
          <w:sz w:val="22"/>
          <w:szCs w:val="22"/>
        </w:rPr>
        <w:t xml:space="preserve">Enseignant contractuel - Travaux dirigés et cours magistraux </w:t>
      </w:r>
      <w:r w:rsidR="00E656E0">
        <w:rPr>
          <w:sz w:val="22"/>
          <w:szCs w:val="22"/>
        </w:rPr>
        <w:t>–</w:t>
      </w:r>
      <w:r w:rsidRPr="00E656E0">
        <w:rPr>
          <w:sz w:val="22"/>
          <w:szCs w:val="22"/>
        </w:rPr>
        <w:t xml:space="preserve"> Univ</w:t>
      </w:r>
      <w:r w:rsidR="00E656E0">
        <w:rPr>
          <w:sz w:val="22"/>
          <w:szCs w:val="22"/>
        </w:rPr>
        <w:t xml:space="preserve">ersité </w:t>
      </w:r>
      <w:r w:rsidRPr="00E656E0">
        <w:rPr>
          <w:sz w:val="22"/>
          <w:szCs w:val="22"/>
        </w:rPr>
        <w:t xml:space="preserve">Paris Cité. </w:t>
      </w:r>
    </w:p>
    <w:p w:rsidR="007143D7" w:rsidRPr="00E656E0" w:rsidRDefault="00000000" w:rsidP="00520339">
      <w:pPr>
        <w:ind w:left="-5" w:right="0"/>
        <w:jc w:val="both"/>
        <w:rPr>
          <w:sz w:val="22"/>
          <w:szCs w:val="22"/>
        </w:rPr>
      </w:pPr>
      <w:r w:rsidRPr="00E656E0">
        <w:rPr>
          <w:b/>
          <w:sz w:val="22"/>
          <w:szCs w:val="22"/>
        </w:rPr>
        <w:t xml:space="preserve">2022-2023 : </w:t>
      </w:r>
      <w:r w:rsidRPr="00E656E0">
        <w:rPr>
          <w:sz w:val="22"/>
          <w:szCs w:val="22"/>
        </w:rPr>
        <w:t>Enseignant contractuel - Travaux dirigés et cours magistraux - Univ</w:t>
      </w:r>
      <w:r w:rsidR="00E656E0">
        <w:rPr>
          <w:sz w:val="22"/>
          <w:szCs w:val="22"/>
        </w:rPr>
        <w:t>ersité</w:t>
      </w:r>
      <w:r w:rsidRPr="00E656E0">
        <w:rPr>
          <w:sz w:val="22"/>
          <w:szCs w:val="22"/>
        </w:rPr>
        <w:t xml:space="preserve"> Paris Cité. </w:t>
      </w:r>
    </w:p>
    <w:p w:rsidR="007143D7" w:rsidRPr="00E656E0" w:rsidRDefault="00000000" w:rsidP="00520339">
      <w:pPr>
        <w:ind w:left="-5" w:right="0"/>
        <w:jc w:val="both"/>
        <w:rPr>
          <w:sz w:val="22"/>
          <w:szCs w:val="22"/>
        </w:rPr>
      </w:pPr>
      <w:r w:rsidRPr="00E656E0">
        <w:rPr>
          <w:b/>
          <w:sz w:val="22"/>
          <w:szCs w:val="22"/>
        </w:rPr>
        <w:t xml:space="preserve">2019-2020 : </w:t>
      </w:r>
      <w:r w:rsidR="00B81001">
        <w:rPr>
          <w:sz w:val="22"/>
          <w:szCs w:val="22"/>
        </w:rPr>
        <w:t>ATER</w:t>
      </w:r>
      <w:r w:rsidRPr="00E656E0">
        <w:rPr>
          <w:sz w:val="22"/>
          <w:szCs w:val="22"/>
        </w:rPr>
        <w:t xml:space="preserve"> - Travaux dirigés </w:t>
      </w:r>
      <w:r w:rsidR="00E656E0">
        <w:rPr>
          <w:sz w:val="22"/>
          <w:szCs w:val="22"/>
        </w:rPr>
        <w:t>–</w:t>
      </w:r>
      <w:r w:rsidRPr="00E656E0">
        <w:rPr>
          <w:sz w:val="22"/>
          <w:szCs w:val="22"/>
        </w:rPr>
        <w:t xml:space="preserve"> Univ</w:t>
      </w:r>
      <w:r w:rsidR="00E656E0">
        <w:rPr>
          <w:sz w:val="22"/>
          <w:szCs w:val="22"/>
        </w:rPr>
        <w:t xml:space="preserve">ersité </w:t>
      </w:r>
      <w:r w:rsidRPr="00E656E0">
        <w:rPr>
          <w:sz w:val="22"/>
          <w:szCs w:val="22"/>
        </w:rPr>
        <w:t xml:space="preserve">Paris Descartes. </w:t>
      </w:r>
    </w:p>
    <w:p w:rsidR="007143D7" w:rsidRPr="00E656E0" w:rsidRDefault="00000000" w:rsidP="00520339">
      <w:pPr>
        <w:ind w:left="-5" w:right="0"/>
        <w:jc w:val="both"/>
        <w:rPr>
          <w:sz w:val="22"/>
          <w:szCs w:val="22"/>
        </w:rPr>
      </w:pPr>
      <w:r w:rsidRPr="00E656E0">
        <w:rPr>
          <w:b/>
          <w:sz w:val="22"/>
          <w:szCs w:val="22"/>
        </w:rPr>
        <w:t xml:space="preserve">2018-2019 : </w:t>
      </w:r>
      <w:r w:rsidR="00B81001">
        <w:rPr>
          <w:sz w:val="22"/>
          <w:szCs w:val="22"/>
        </w:rPr>
        <w:t>ATER</w:t>
      </w:r>
      <w:r w:rsidRPr="00E656E0">
        <w:rPr>
          <w:sz w:val="22"/>
          <w:szCs w:val="22"/>
        </w:rPr>
        <w:t xml:space="preserve"> - Travaux dirigés </w:t>
      </w:r>
      <w:r w:rsidR="00E656E0">
        <w:rPr>
          <w:sz w:val="22"/>
          <w:szCs w:val="22"/>
        </w:rPr>
        <w:t>–</w:t>
      </w:r>
      <w:r w:rsidRPr="00E656E0">
        <w:rPr>
          <w:sz w:val="22"/>
          <w:szCs w:val="22"/>
        </w:rPr>
        <w:t xml:space="preserve"> Univ</w:t>
      </w:r>
      <w:r w:rsidR="00E656E0">
        <w:rPr>
          <w:sz w:val="22"/>
          <w:szCs w:val="22"/>
        </w:rPr>
        <w:t>ersité</w:t>
      </w:r>
      <w:r w:rsidRPr="00E656E0">
        <w:rPr>
          <w:sz w:val="22"/>
          <w:szCs w:val="22"/>
        </w:rPr>
        <w:t xml:space="preserve"> Paris Descartes. </w:t>
      </w:r>
    </w:p>
    <w:p w:rsidR="007143D7" w:rsidRPr="00E656E0" w:rsidRDefault="00000000" w:rsidP="00520339">
      <w:pPr>
        <w:ind w:left="-5" w:right="0"/>
        <w:jc w:val="both"/>
        <w:rPr>
          <w:sz w:val="22"/>
          <w:szCs w:val="22"/>
        </w:rPr>
      </w:pPr>
      <w:r w:rsidRPr="00E656E0">
        <w:rPr>
          <w:b/>
          <w:sz w:val="22"/>
          <w:szCs w:val="22"/>
        </w:rPr>
        <w:t xml:space="preserve">2014-2017 : </w:t>
      </w:r>
      <w:r w:rsidRPr="00E656E0">
        <w:rPr>
          <w:sz w:val="22"/>
          <w:szCs w:val="22"/>
        </w:rPr>
        <w:t xml:space="preserve">Contrat doctoral avec mission d’enseignement en travaux dirigés. </w:t>
      </w:r>
    </w:p>
    <w:p w:rsidR="007143D7" w:rsidRPr="00E656E0" w:rsidRDefault="00000000" w:rsidP="00520339">
      <w:pPr>
        <w:ind w:left="-5" w:right="0"/>
        <w:jc w:val="both"/>
        <w:rPr>
          <w:sz w:val="22"/>
          <w:szCs w:val="22"/>
        </w:rPr>
      </w:pPr>
      <w:r w:rsidRPr="00E656E0">
        <w:rPr>
          <w:b/>
          <w:sz w:val="22"/>
          <w:szCs w:val="22"/>
        </w:rPr>
        <w:t xml:space="preserve">2012-2013 : </w:t>
      </w:r>
      <w:r w:rsidRPr="00E656E0">
        <w:rPr>
          <w:sz w:val="22"/>
          <w:szCs w:val="22"/>
        </w:rPr>
        <w:t xml:space="preserve">Stage au ministère de la justice, Direction des services judiciaires. </w:t>
      </w:r>
    </w:p>
    <w:p w:rsidR="007143D7" w:rsidRPr="00E656E0" w:rsidRDefault="00000000" w:rsidP="00520339">
      <w:pPr>
        <w:ind w:left="-5" w:right="0"/>
        <w:jc w:val="both"/>
        <w:rPr>
          <w:sz w:val="22"/>
          <w:szCs w:val="22"/>
        </w:rPr>
      </w:pPr>
      <w:r w:rsidRPr="00E656E0">
        <w:rPr>
          <w:b/>
          <w:sz w:val="22"/>
          <w:szCs w:val="22"/>
        </w:rPr>
        <w:t>2011 :</w:t>
      </w:r>
      <w:r w:rsidRPr="00E656E0">
        <w:rPr>
          <w:sz w:val="22"/>
          <w:szCs w:val="22"/>
        </w:rPr>
        <w:t xml:space="preserve"> Stage assistance juridique, Groupe Vivarte, Paris. </w:t>
      </w:r>
    </w:p>
    <w:p w:rsidR="007143D7" w:rsidRPr="00E656E0" w:rsidRDefault="00000000" w:rsidP="00520339">
      <w:pPr>
        <w:ind w:left="-5" w:right="0"/>
        <w:jc w:val="both"/>
        <w:rPr>
          <w:sz w:val="22"/>
          <w:szCs w:val="22"/>
        </w:rPr>
      </w:pPr>
      <w:r w:rsidRPr="00E656E0">
        <w:rPr>
          <w:b/>
          <w:sz w:val="22"/>
          <w:szCs w:val="22"/>
        </w:rPr>
        <w:t xml:space="preserve">2010 : </w:t>
      </w:r>
      <w:r w:rsidRPr="00E656E0">
        <w:rPr>
          <w:sz w:val="22"/>
          <w:szCs w:val="22"/>
        </w:rPr>
        <w:t xml:space="preserve">Chargée d’étude - CIG de la petite couronne, Fonction publique territoriale, Pantin. </w:t>
      </w:r>
    </w:p>
    <w:p w:rsidR="007143D7" w:rsidRPr="00E656E0" w:rsidRDefault="00000000" w:rsidP="00520339">
      <w:pPr>
        <w:spacing w:after="309"/>
        <w:ind w:left="-5" w:right="0"/>
        <w:jc w:val="both"/>
        <w:rPr>
          <w:sz w:val="22"/>
          <w:szCs w:val="22"/>
        </w:rPr>
      </w:pPr>
      <w:r w:rsidRPr="00E656E0">
        <w:rPr>
          <w:b/>
          <w:sz w:val="22"/>
          <w:szCs w:val="22"/>
        </w:rPr>
        <w:t>2004 :</w:t>
      </w:r>
      <w:r w:rsidRPr="00E656E0">
        <w:rPr>
          <w:sz w:val="22"/>
          <w:szCs w:val="22"/>
        </w:rPr>
        <w:t xml:space="preserve"> Stage en cabinet d’avocat auprès de M</w:t>
      </w:r>
      <w:r w:rsidRPr="008502BD">
        <w:rPr>
          <w:sz w:val="22"/>
          <w:szCs w:val="22"/>
          <w:vertAlign w:val="superscript"/>
        </w:rPr>
        <w:t>e</w:t>
      </w:r>
      <w:r w:rsidRPr="00E656E0">
        <w:rPr>
          <w:sz w:val="22"/>
          <w:szCs w:val="22"/>
        </w:rPr>
        <w:t xml:space="preserve"> Hubert - Cabinet </w:t>
      </w:r>
      <w:proofErr w:type="spellStart"/>
      <w:r w:rsidRPr="00E656E0">
        <w:rPr>
          <w:sz w:val="22"/>
          <w:szCs w:val="22"/>
        </w:rPr>
        <w:t>Meneghetti</w:t>
      </w:r>
      <w:proofErr w:type="spellEnd"/>
      <w:r w:rsidRPr="00E656E0">
        <w:rPr>
          <w:sz w:val="22"/>
          <w:szCs w:val="22"/>
        </w:rPr>
        <w:t xml:space="preserve"> Hubert associés, Paris. </w:t>
      </w:r>
    </w:p>
    <w:p w:rsidR="007143D7" w:rsidRPr="00E656E0" w:rsidRDefault="00E656E0" w:rsidP="00E656E0">
      <w:pPr>
        <w:spacing w:after="356" w:line="259" w:lineRule="auto"/>
        <w:ind w:left="0" w:right="0" w:firstLine="0"/>
      </w:pPr>
      <w:r w:rsidRPr="00E656E0">
        <w:rPr>
          <w:b/>
          <w:u w:val="single" w:color="000000"/>
        </w:rPr>
        <w:t>Enseignements :</w:t>
      </w:r>
    </w:p>
    <w:p w:rsidR="007143D7" w:rsidRPr="00E656E0" w:rsidRDefault="00000000">
      <w:pPr>
        <w:numPr>
          <w:ilvl w:val="0"/>
          <w:numId w:val="1"/>
        </w:numPr>
        <w:ind w:right="0" w:hanging="262"/>
        <w:rPr>
          <w:sz w:val="22"/>
          <w:szCs w:val="22"/>
        </w:rPr>
      </w:pPr>
      <w:r w:rsidRPr="00E656E0">
        <w:rPr>
          <w:sz w:val="22"/>
          <w:szCs w:val="22"/>
        </w:rPr>
        <w:t xml:space="preserve">Principes fondamentaux du droit (TD/L1)  </w:t>
      </w:r>
    </w:p>
    <w:p w:rsidR="007143D7" w:rsidRPr="00E656E0" w:rsidRDefault="00000000">
      <w:pPr>
        <w:numPr>
          <w:ilvl w:val="0"/>
          <w:numId w:val="1"/>
        </w:numPr>
        <w:ind w:right="0" w:hanging="262"/>
        <w:rPr>
          <w:sz w:val="22"/>
          <w:szCs w:val="22"/>
        </w:rPr>
      </w:pPr>
      <w:r w:rsidRPr="00E656E0">
        <w:rPr>
          <w:sz w:val="22"/>
          <w:szCs w:val="22"/>
        </w:rPr>
        <w:t xml:space="preserve">Droit de la famille (TD/L1)  </w:t>
      </w:r>
    </w:p>
    <w:p w:rsidR="007143D7" w:rsidRPr="00E656E0" w:rsidRDefault="00000000">
      <w:pPr>
        <w:numPr>
          <w:ilvl w:val="0"/>
          <w:numId w:val="1"/>
        </w:numPr>
        <w:ind w:right="0" w:hanging="262"/>
        <w:rPr>
          <w:sz w:val="22"/>
          <w:szCs w:val="22"/>
        </w:rPr>
      </w:pPr>
      <w:r w:rsidRPr="00E656E0">
        <w:rPr>
          <w:sz w:val="22"/>
          <w:szCs w:val="22"/>
        </w:rPr>
        <w:t xml:space="preserve">Droit du numérique (CM/L1) </w:t>
      </w:r>
    </w:p>
    <w:p w:rsidR="007143D7" w:rsidRPr="00E656E0" w:rsidRDefault="00000000">
      <w:pPr>
        <w:numPr>
          <w:ilvl w:val="0"/>
          <w:numId w:val="1"/>
        </w:numPr>
        <w:ind w:right="0" w:hanging="262"/>
        <w:rPr>
          <w:sz w:val="22"/>
          <w:szCs w:val="22"/>
        </w:rPr>
      </w:pPr>
      <w:r w:rsidRPr="00E656E0">
        <w:rPr>
          <w:sz w:val="22"/>
          <w:szCs w:val="22"/>
        </w:rPr>
        <w:t xml:space="preserve">Droit des contrats (TD/L2)  </w:t>
      </w:r>
    </w:p>
    <w:p w:rsidR="007143D7" w:rsidRPr="00E656E0" w:rsidRDefault="00000000">
      <w:pPr>
        <w:numPr>
          <w:ilvl w:val="0"/>
          <w:numId w:val="1"/>
        </w:numPr>
        <w:ind w:right="0" w:hanging="262"/>
        <w:rPr>
          <w:sz w:val="22"/>
          <w:szCs w:val="22"/>
        </w:rPr>
      </w:pPr>
      <w:r w:rsidRPr="00E656E0">
        <w:rPr>
          <w:sz w:val="22"/>
          <w:szCs w:val="22"/>
        </w:rPr>
        <w:t xml:space="preserve">Droit de la responsabilité civile (TD/L2)  </w:t>
      </w:r>
    </w:p>
    <w:p w:rsidR="007143D7" w:rsidRPr="00E656E0" w:rsidRDefault="00000000">
      <w:pPr>
        <w:numPr>
          <w:ilvl w:val="0"/>
          <w:numId w:val="1"/>
        </w:numPr>
        <w:ind w:right="0" w:hanging="262"/>
        <w:rPr>
          <w:sz w:val="22"/>
          <w:szCs w:val="22"/>
        </w:rPr>
      </w:pPr>
      <w:r w:rsidRPr="00E656E0">
        <w:rPr>
          <w:sz w:val="22"/>
          <w:szCs w:val="22"/>
        </w:rPr>
        <w:t xml:space="preserve">Régime général des obligations (TD/L3)  </w:t>
      </w:r>
    </w:p>
    <w:p w:rsidR="007143D7" w:rsidRPr="00E656E0" w:rsidRDefault="00000000">
      <w:pPr>
        <w:numPr>
          <w:ilvl w:val="0"/>
          <w:numId w:val="1"/>
        </w:numPr>
        <w:ind w:right="0" w:hanging="262"/>
        <w:rPr>
          <w:sz w:val="22"/>
          <w:szCs w:val="22"/>
        </w:rPr>
      </w:pPr>
      <w:r w:rsidRPr="00E656E0">
        <w:rPr>
          <w:sz w:val="22"/>
          <w:szCs w:val="22"/>
        </w:rPr>
        <w:t xml:space="preserve">Droit des successions et des libéralités (TD/M1)  </w:t>
      </w:r>
    </w:p>
    <w:p w:rsidR="007143D7" w:rsidRPr="00E656E0" w:rsidRDefault="00000000">
      <w:pPr>
        <w:numPr>
          <w:ilvl w:val="0"/>
          <w:numId w:val="1"/>
        </w:numPr>
        <w:ind w:right="0" w:hanging="262"/>
        <w:rPr>
          <w:sz w:val="22"/>
          <w:szCs w:val="22"/>
        </w:rPr>
      </w:pPr>
      <w:r w:rsidRPr="00E656E0">
        <w:rPr>
          <w:sz w:val="22"/>
          <w:szCs w:val="22"/>
        </w:rPr>
        <w:t xml:space="preserve">Droit des régimes matrimoniaux (TD/M1)  </w:t>
      </w:r>
    </w:p>
    <w:p w:rsidR="007143D7" w:rsidRPr="00E656E0" w:rsidRDefault="00000000">
      <w:pPr>
        <w:numPr>
          <w:ilvl w:val="0"/>
          <w:numId w:val="1"/>
        </w:numPr>
        <w:ind w:right="0" w:hanging="262"/>
        <w:rPr>
          <w:sz w:val="22"/>
          <w:szCs w:val="22"/>
        </w:rPr>
      </w:pPr>
      <w:r w:rsidRPr="00E656E0">
        <w:rPr>
          <w:sz w:val="22"/>
          <w:szCs w:val="22"/>
        </w:rPr>
        <w:t xml:space="preserve">Droit des successions et des libéralités (CM/M2)  </w:t>
      </w:r>
    </w:p>
    <w:p w:rsidR="007143D7" w:rsidRPr="00E656E0" w:rsidRDefault="00000000">
      <w:pPr>
        <w:numPr>
          <w:ilvl w:val="0"/>
          <w:numId w:val="1"/>
        </w:numPr>
        <w:ind w:right="0" w:hanging="262"/>
        <w:rPr>
          <w:sz w:val="22"/>
          <w:szCs w:val="22"/>
        </w:rPr>
      </w:pPr>
      <w:r w:rsidRPr="00E656E0">
        <w:rPr>
          <w:sz w:val="22"/>
          <w:szCs w:val="22"/>
        </w:rPr>
        <w:t xml:space="preserve">Droit du patrimoine (CM/M2)  </w:t>
      </w:r>
    </w:p>
    <w:p w:rsidR="007143D7" w:rsidRDefault="00000000">
      <w:pPr>
        <w:numPr>
          <w:ilvl w:val="0"/>
          <w:numId w:val="1"/>
        </w:numPr>
        <w:spacing w:after="426"/>
        <w:ind w:right="0" w:hanging="262"/>
        <w:rPr>
          <w:sz w:val="22"/>
          <w:szCs w:val="22"/>
        </w:rPr>
      </w:pPr>
      <w:r w:rsidRPr="00E656E0">
        <w:rPr>
          <w:sz w:val="22"/>
          <w:szCs w:val="22"/>
        </w:rPr>
        <w:t xml:space="preserve">Clinique juridique </w:t>
      </w:r>
    </w:p>
    <w:p w:rsidR="00E656E0" w:rsidRPr="00E656E0" w:rsidRDefault="00E656E0" w:rsidP="00E656E0">
      <w:pPr>
        <w:spacing w:after="426"/>
        <w:ind w:left="262" w:right="0" w:firstLine="0"/>
        <w:rPr>
          <w:sz w:val="22"/>
          <w:szCs w:val="22"/>
        </w:rPr>
      </w:pPr>
    </w:p>
    <w:p w:rsidR="007143D7" w:rsidRDefault="00520339" w:rsidP="00E656E0">
      <w:pPr>
        <w:pStyle w:val="Titre1"/>
      </w:pPr>
      <w:r w:rsidRPr="00E656E0">
        <w:lastRenderedPageBreak/>
        <w:t>ACTIVITÉ</w:t>
      </w:r>
      <w:r w:rsidR="006A4CF6">
        <w:t>S</w:t>
      </w:r>
      <w:r>
        <w:t xml:space="preserve"> DE RECHERCHE</w:t>
      </w:r>
    </w:p>
    <w:p w:rsidR="00520339" w:rsidRPr="00E656E0" w:rsidRDefault="00520339" w:rsidP="00520339">
      <w:pPr>
        <w:tabs>
          <w:tab w:val="left" w:pos="1985"/>
        </w:tabs>
        <w:autoSpaceDE w:val="0"/>
        <w:autoSpaceDN w:val="0"/>
        <w:adjustRightInd w:val="0"/>
        <w:spacing w:line="276" w:lineRule="auto"/>
        <w:jc w:val="both"/>
        <w:rPr>
          <w:kern w:val="0"/>
          <w:sz w:val="22"/>
          <w:szCs w:val="22"/>
        </w:rPr>
      </w:pPr>
      <w:r w:rsidRPr="00E656E0">
        <w:rPr>
          <w:b/>
          <w:bCs/>
          <w:kern w:val="0"/>
        </w:rPr>
        <w:t xml:space="preserve">Thèse : </w:t>
      </w:r>
      <w:r w:rsidRPr="00E656E0">
        <w:rPr>
          <w:b/>
          <w:bCs/>
          <w:i/>
          <w:iCs/>
          <w:kern w:val="0"/>
        </w:rPr>
        <w:t>Le rapport de l’héritier renonçant</w:t>
      </w:r>
      <w:r w:rsidRPr="00E656E0">
        <w:rPr>
          <w:b/>
          <w:bCs/>
          <w:kern w:val="0"/>
        </w:rPr>
        <w:t>,</w:t>
      </w:r>
      <w:r w:rsidRPr="00E656E0">
        <w:rPr>
          <w:i/>
          <w:iCs/>
          <w:kern w:val="0"/>
        </w:rPr>
        <w:t xml:space="preserve"> </w:t>
      </w:r>
      <w:r w:rsidRPr="00E656E0">
        <w:rPr>
          <w:kern w:val="0"/>
          <w:sz w:val="22"/>
          <w:szCs w:val="22"/>
        </w:rPr>
        <w:t>dirigée par le Professeur Clothilde GRARE-DIDIER soutenue le 5 décembre 2024 à l’Université Paris Cité (Malakoff) devant un jury composé des Professeurs Isabelle DAURIAC (Président), Gaël CHANTEPIE (Rapporteur), Christophe VERNIERES (Rapporteur), Bernard VAREILLE (Suffragant).</w:t>
      </w:r>
    </w:p>
    <w:p w:rsidR="00520339" w:rsidRPr="009B0861" w:rsidRDefault="00520339" w:rsidP="00520339">
      <w:pPr>
        <w:ind w:right="0"/>
        <w:rPr>
          <w:sz w:val="15"/>
          <w:szCs w:val="15"/>
        </w:rPr>
      </w:pPr>
    </w:p>
    <w:tbl>
      <w:tblPr>
        <w:tblStyle w:val="Tableausimple3"/>
        <w:tblW w:w="0" w:type="auto"/>
        <w:tblLook w:val="0600" w:firstRow="0" w:lastRow="0" w:firstColumn="0" w:lastColumn="0" w:noHBand="1" w:noVBand="1"/>
      </w:tblPr>
      <w:tblGrid>
        <w:gridCol w:w="9638"/>
      </w:tblGrid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rPr>
                <w:color w:val="000000" w:themeColor="text1"/>
                <w:sz w:val="26"/>
                <w:szCs w:val="26"/>
              </w:rPr>
            </w:pPr>
            <w:r w:rsidRPr="009B0861"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  <w:u w:val="single"/>
              </w:rPr>
              <w:t>PARTIE 1 : LA NOTION DE RAPPORT DE L’HÉRITIER RENONÇANT</w:t>
            </w:r>
            <w:r w:rsidRPr="009B0861">
              <w:rPr>
                <w:rFonts w:ascii="Calibri" w:hAnsi="Calibri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8E2F77" w:rsidRPr="00F73E4E" w:rsidTr="001D3F1C">
        <w:trPr>
          <w:trHeight w:val="301"/>
        </w:trPr>
        <w:tc>
          <w:tcPr>
            <w:tcW w:w="0" w:type="auto"/>
          </w:tcPr>
          <w:p w:rsidR="008E2F77" w:rsidRPr="00F73E4E" w:rsidRDefault="008E2F77" w:rsidP="001D3F1C">
            <w:pPr>
              <w:rPr>
                <w:color w:val="000000" w:themeColor="text1"/>
              </w:rPr>
            </w:pPr>
            <w:r w:rsidRPr="009B0861">
              <w:rPr>
                <w:rFonts w:ascii="Calibri" w:eastAsiaTheme="majorEastAsia" w:hAnsi="Calibri" w:cs="Calibri"/>
                <w:b/>
                <w:bCs/>
                <w:smallCaps/>
                <w:noProof/>
                <w:color w:val="000000" w:themeColor="text1"/>
                <w:u w:val="single"/>
              </w:rPr>
              <w:t>Titre 1 : Nature du rapport de l’héritier renonçant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rPr>
                <w:color w:val="000000" w:themeColor="text1"/>
                <w:sz w:val="22"/>
                <w:szCs w:val="22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2"/>
                <w:szCs w:val="22"/>
                <w:u w:val="single"/>
              </w:rPr>
              <w:t>Chapitre 1 : Analyse juridique du rapport</w:t>
            </w:r>
            <w:r w:rsidRPr="009B086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ind w:left="720"/>
              <w:rPr>
                <w:color w:val="000000" w:themeColor="text1"/>
                <w:sz w:val="21"/>
                <w:szCs w:val="21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  <w:t>Section 1 : La dimension obligationnelle du rapport</w:t>
            </w:r>
            <w:r w:rsidRPr="009B0861"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ind w:left="720"/>
              <w:rPr>
                <w:color w:val="000000" w:themeColor="text1"/>
                <w:sz w:val="21"/>
                <w:szCs w:val="21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  <w:t>Section 2 : La dimension conditionnelle de l’obligation au rapport</w:t>
            </w:r>
            <w:r w:rsidRPr="009B0861"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rPr>
                <w:color w:val="000000" w:themeColor="text1"/>
                <w:sz w:val="22"/>
                <w:szCs w:val="22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2"/>
                <w:szCs w:val="22"/>
                <w:u w:val="single"/>
              </w:rPr>
              <w:t>Chapitre 2 : Incidence du rapport sur la gratuité de la libéralité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ind w:left="720"/>
              <w:rPr>
                <w:color w:val="000000" w:themeColor="text1"/>
                <w:sz w:val="21"/>
                <w:szCs w:val="21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  <w:t>Section 1 : La gratuité de la libéralité ordinaire</w:t>
            </w:r>
            <w:r w:rsidRPr="009B0861"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ind w:left="720"/>
              <w:rPr>
                <w:color w:val="000000" w:themeColor="text1"/>
                <w:sz w:val="21"/>
                <w:szCs w:val="21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  <w:t>Section 2 : La question de la gratuité de la libéralité à charge de</w:t>
            </w:r>
            <w:r w:rsidRPr="009B0861">
              <w:rPr>
                <w:rFonts w:ascii="Calibri" w:hAnsi="Calibri" w:cs="Calibri"/>
                <w:smallCaps/>
                <w:noProof/>
                <w:color w:val="000000" w:themeColor="text1"/>
                <w:sz w:val="21"/>
                <w:szCs w:val="21"/>
              </w:rPr>
              <w:t xml:space="preserve"> </w:t>
            </w: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  <w:t>rapport</w:t>
            </w:r>
            <w:r w:rsidRPr="009B0861"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F73E4E" w:rsidRDefault="008E2F77" w:rsidP="001D3F1C">
            <w:pPr>
              <w:rPr>
                <w:color w:val="000000" w:themeColor="text1"/>
              </w:rPr>
            </w:pPr>
            <w:r w:rsidRPr="009B0861">
              <w:rPr>
                <w:rFonts w:ascii="Calibri" w:eastAsiaTheme="majorEastAsia" w:hAnsi="Calibri" w:cs="Calibri"/>
                <w:b/>
                <w:bCs/>
                <w:smallCaps/>
                <w:noProof/>
                <w:color w:val="000000" w:themeColor="text1"/>
                <w:u w:val="single"/>
              </w:rPr>
              <w:t>Titre 2 : Les fonctions du rapport de l’héritier renonçant</w:t>
            </w:r>
            <w:r w:rsidRPr="009B0861"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F73E4E" w:rsidRDefault="008E2F77" w:rsidP="001D3F1C">
            <w:pPr>
              <w:ind w:left="720"/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2"/>
                <w:szCs w:val="22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  <w:t>Propos liminaires : Recherche de l’égalité assurée par le rapport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F73E4E" w:rsidRDefault="008E2F77" w:rsidP="001D3F1C">
            <w:pPr>
              <w:rPr>
                <w:color w:val="000000" w:themeColor="text1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2"/>
                <w:szCs w:val="22"/>
                <w:u w:val="single"/>
              </w:rPr>
              <w:t>Chapitre 1 : Les fonctions historiques du rapport de l’héritier renonçant</w:t>
            </w:r>
            <w:r w:rsidRPr="009B0861"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ind w:left="720"/>
              <w:rPr>
                <w:rFonts w:ascii="Calibri" w:hAnsi="Calibri" w:cs="Calibri"/>
                <w:smallCaps/>
                <w:noProof/>
                <w:color w:val="000000" w:themeColor="text1"/>
                <w:sz w:val="21"/>
                <w:szCs w:val="21"/>
                <w:u w:val="single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  <w:t>Section 1 : L’évolution historique du rapport</w:t>
            </w:r>
            <w:r w:rsidRPr="009B0861"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ind w:left="720"/>
              <w:rPr>
                <w:rFonts w:ascii="Calibri" w:hAnsi="Calibri" w:cs="Calibri"/>
                <w:smallCaps/>
                <w:noProof/>
                <w:color w:val="000000" w:themeColor="text1"/>
                <w:sz w:val="21"/>
                <w:szCs w:val="21"/>
                <w:u w:val="single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  <w:t>Section 2 : La coexistence des conceptions successorale et libérale du</w:t>
            </w:r>
            <w:r w:rsidRPr="009B0861">
              <w:rPr>
                <w:rFonts w:ascii="Calibri" w:hAnsi="Calibri" w:cs="Calibri"/>
                <w:smallCaps/>
                <w:noProof/>
                <w:color w:val="000000" w:themeColor="text1"/>
                <w:sz w:val="21"/>
                <w:szCs w:val="21"/>
              </w:rPr>
              <w:t xml:space="preserve"> </w:t>
            </w: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  <w:t>rapport</w:t>
            </w:r>
            <w:r w:rsidRPr="009B0861"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rPr>
                <w:rFonts w:ascii="Calibri" w:hAnsi="Calibri" w:cs="Calibri"/>
                <w:smallCaps/>
                <w:noProof/>
                <w:color w:val="000000" w:themeColor="text1"/>
                <w:sz w:val="22"/>
                <w:szCs w:val="22"/>
                <w:u w:val="single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2"/>
                <w:szCs w:val="22"/>
                <w:u w:val="single"/>
              </w:rPr>
              <w:t>Chapitre 2 : Les fonctions attendues du rapport de l’héritier renonçant</w:t>
            </w:r>
            <w:r w:rsidRPr="009B086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F73E4E" w:rsidRDefault="008E2F77" w:rsidP="001D3F1C">
            <w:pPr>
              <w:ind w:left="720"/>
              <w:rPr>
                <w:rFonts w:ascii="Calibri" w:hAnsi="Calibri" w:cs="Calibri"/>
                <w:smallCaps/>
                <w:noProof/>
                <w:color w:val="000000" w:themeColor="text1"/>
                <w:u w:val="single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  <w:t xml:space="preserve">Section 1 : Renforcement de la volonté du disposant 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ind w:left="1440"/>
              <w:rPr>
                <w:rFonts w:ascii="Calibri" w:hAnsi="Calibri" w:cs="Calibri"/>
                <w:smallCaps/>
                <w:noProof/>
                <w:color w:val="000000" w:themeColor="text1"/>
                <w:sz w:val="20"/>
                <w:szCs w:val="20"/>
                <w:u w:val="single"/>
              </w:rPr>
            </w:pPr>
            <w:r w:rsidRPr="009B0861">
              <w:rPr>
                <w:rFonts w:ascii="Calibri" w:eastAsiaTheme="majorEastAsia" w:hAnsi="Calibri" w:cs="Calibri"/>
                <w:b/>
                <w:bCs/>
                <w:smallCaps/>
                <w:noProof/>
                <w:color w:val="000000" w:themeColor="text1"/>
                <w:sz w:val="20"/>
                <w:szCs w:val="20"/>
              </w:rPr>
              <w:t>Sous-section 1 :</w:t>
            </w: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0"/>
                <w:szCs w:val="20"/>
              </w:rPr>
              <w:t xml:space="preserve"> La faiblesse de la volonté du disposant à travers la conception libérale de l’avancement de part dans le rapport ordinaire</w:t>
            </w:r>
            <w:r w:rsidRPr="009B0861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ind w:left="144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B0861">
              <w:rPr>
                <w:rFonts w:ascii="Calibri" w:eastAsiaTheme="majorEastAsia" w:hAnsi="Calibri" w:cs="Calibri"/>
                <w:b/>
                <w:bCs/>
                <w:smallCaps/>
                <w:noProof/>
                <w:color w:val="000000" w:themeColor="text1"/>
                <w:sz w:val="20"/>
                <w:szCs w:val="20"/>
              </w:rPr>
              <w:t>Sous-section 2 :</w:t>
            </w: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0"/>
                <w:szCs w:val="20"/>
              </w:rPr>
              <w:t xml:space="preserve"> La force de la volonté du disposant à travers la conception successorale de l’avancement de part dans le rapport du renonçant</w:t>
            </w:r>
            <w:r w:rsidRPr="009B0861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F73E4E" w:rsidRDefault="008E2F77" w:rsidP="001D3F1C">
            <w:pPr>
              <w:ind w:left="720"/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2"/>
                <w:szCs w:val="22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  <w:t xml:space="preserve">Section 2 : Renforcement de l’égalité entre les héritiers présomptifs 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9B0861"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PARTIE 2 : </w:t>
            </w:r>
            <w:r w:rsidR="009B0861"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  <w:u w:val="single"/>
              </w:rPr>
              <w:t>LE REGIME DU RAPPORT DE L’HÉRITIER RENONÇANT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rPr>
                <w:rFonts w:ascii="Calibri" w:hAnsi="Calibri"/>
                <w:color w:val="000000" w:themeColor="text1"/>
              </w:rPr>
            </w:pPr>
            <w:r w:rsidRPr="009B0861">
              <w:rPr>
                <w:rFonts w:ascii="Calibri" w:eastAsiaTheme="majorEastAsia" w:hAnsi="Calibri" w:cs="Calibri"/>
                <w:b/>
                <w:bCs/>
                <w:smallCaps/>
                <w:noProof/>
                <w:color w:val="000000" w:themeColor="text1"/>
                <w:u w:val="single"/>
              </w:rPr>
              <w:t>Titre 1 : Analyse critique du régime actuel du rapport de l’héritier renonçant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2"/>
                <w:szCs w:val="22"/>
                <w:u w:val="single"/>
              </w:rPr>
              <w:t>Chapitre 1 : Incompatibilité du régime actuel avec la notion de confusion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ind w:left="708"/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  <w:t>Section 1 : La confusion effective dans le rapport ordinaire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ind w:left="708"/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  <w:t xml:space="preserve">Section 2 : La confusion fictive dans le rapport du renonçant 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2"/>
                <w:szCs w:val="22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2"/>
                <w:szCs w:val="22"/>
                <w:u w:val="single"/>
              </w:rPr>
              <w:t>Chapitre 2 : Incompatibilité du régime actuel avec les règles successorales préexistantes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ind w:left="708"/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  <w:t>Section 1 : Incompatibilité du régime actuel avec les règles préexistantes régissant le rapport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ind w:left="708"/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  <w:t>Section 2 : Incompatibilité du régime actuel avec les règles protectrices de la réserve héréditaire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F73E4E" w:rsidRDefault="008E2F77" w:rsidP="001D3F1C">
            <w:pPr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2"/>
                <w:szCs w:val="22"/>
              </w:rPr>
            </w:pPr>
            <w:r w:rsidRPr="009B0861">
              <w:rPr>
                <w:rFonts w:ascii="Calibri" w:eastAsiaTheme="majorEastAsia" w:hAnsi="Calibri" w:cs="Calibri"/>
                <w:b/>
                <w:bCs/>
                <w:smallCaps/>
                <w:noProof/>
                <w:color w:val="000000" w:themeColor="text1"/>
                <w:u w:val="single"/>
              </w:rPr>
              <w:t>Titre 2 : Proposition d’un nouveau régime du rapport de l’héritier renonçant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F73E4E" w:rsidRDefault="008E2F77" w:rsidP="001D3F1C">
            <w:pPr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2"/>
                <w:szCs w:val="22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2"/>
                <w:szCs w:val="22"/>
                <w:u w:val="single"/>
              </w:rPr>
              <w:t>Chapitre 1 : Justifications du régime proposé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ind w:left="708"/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  <w:u w:val="single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  <w:t>Section 1 : Légitimités politiques du régime proposé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ind w:left="708"/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  <w:u w:val="single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  <w:t>Section 2 : Légitimités juridiques du régime proposé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F73E4E" w:rsidRDefault="008E2F77" w:rsidP="001D3F1C">
            <w:pPr>
              <w:rPr>
                <w:rFonts w:ascii="Calibri" w:eastAsiaTheme="majorEastAsia" w:hAnsi="Calibri" w:cs="Calibri"/>
                <w:smallCaps/>
                <w:noProof/>
                <w:color w:val="000000" w:themeColor="text1"/>
                <w:u w:val="single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2"/>
                <w:szCs w:val="22"/>
                <w:u w:val="single"/>
              </w:rPr>
              <w:t xml:space="preserve">Chapitre 2 : Mise en œuvre du régime proposé 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ind w:left="708"/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  <w:u w:val="single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  <w:t xml:space="preserve">Section 1 : Mise en œuvre en l’absence de réprésentation de l’héritier renonçant </w:t>
            </w:r>
          </w:p>
        </w:tc>
      </w:tr>
      <w:tr w:rsidR="008E2F77" w:rsidRPr="00F73E4E" w:rsidTr="001D3F1C">
        <w:trPr>
          <w:trHeight w:val="311"/>
        </w:trPr>
        <w:tc>
          <w:tcPr>
            <w:tcW w:w="0" w:type="auto"/>
          </w:tcPr>
          <w:p w:rsidR="008E2F77" w:rsidRPr="009B0861" w:rsidRDefault="008E2F77" w:rsidP="001D3F1C">
            <w:pPr>
              <w:ind w:left="708"/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</w:pPr>
            <w:r w:rsidRPr="009B0861">
              <w:rPr>
                <w:rFonts w:ascii="Calibri" w:eastAsiaTheme="majorEastAsia" w:hAnsi="Calibri" w:cs="Calibri"/>
                <w:smallCaps/>
                <w:noProof/>
                <w:color w:val="000000" w:themeColor="text1"/>
                <w:sz w:val="21"/>
                <w:szCs w:val="21"/>
              </w:rPr>
              <w:t>Section 2 : Mise en œuvre en cas de représentation de l’héritier renonçant</w:t>
            </w:r>
          </w:p>
        </w:tc>
      </w:tr>
    </w:tbl>
    <w:p w:rsidR="00520339" w:rsidRPr="00E656E0" w:rsidRDefault="00520339" w:rsidP="00520339">
      <w:pPr>
        <w:ind w:left="0" w:right="0" w:firstLine="0"/>
      </w:pPr>
    </w:p>
    <w:p w:rsidR="00520339" w:rsidRPr="00E656E0" w:rsidRDefault="00520339" w:rsidP="00520339">
      <w:pPr>
        <w:tabs>
          <w:tab w:val="left" w:pos="1985"/>
        </w:tabs>
        <w:autoSpaceDE w:val="0"/>
        <w:autoSpaceDN w:val="0"/>
        <w:adjustRightInd w:val="0"/>
        <w:spacing w:line="276" w:lineRule="auto"/>
        <w:jc w:val="both"/>
        <w:rPr>
          <w:kern w:val="0"/>
          <w:sz w:val="22"/>
          <w:szCs w:val="22"/>
        </w:rPr>
      </w:pPr>
      <w:r w:rsidRPr="00E656E0">
        <w:rPr>
          <w:b/>
          <w:bCs/>
          <w:kern w:val="0"/>
          <w:sz w:val="22"/>
          <w:szCs w:val="22"/>
        </w:rPr>
        <w:t>Note de jurisprudence :</w:t>
      </w:r>
      <w:r w:rsidRPr="00E656E0">
        <w:rPr>
          <w:kern w:val="0"/>
          <w:sz w:val="22"/>
          <w:szCs w:val="22"/>
        </w:rPr>
        <w:t xml:space="preserve"> « Promesse unilatérale vente : date d’appréciation des éléments essentiels du contrat. À propos de Cass. 3</w:t>
      </w:r>
      <w:r w:rsidRPr="00E656E0">
        <w:rPr>
          <w:kern w:val="0"/>
          <w:sz w:val="22"/>
          <w:szCs w:val="22"/>
          <w:vertAlign w:val="superscript"/>
        </w:rPr>
        <w:t>e</w:t>
      </w:r>
      <w:r w:rsidRPr="00E656E0">
        <w:rPr>
          <w:kern w:val="0"/>
          <w:sz w:val="22"/>
          <w:szCs w:val="22"/>
        </w:rPr>
        <w:t xml:space="preserve"> civ. 21 nov. 2024, n° 21-12.661 » à paraitre au Defrénois, 1</w:t>
      </w:r>
      <w:r w:rsidRPr="00E656E0">
        <w:rPr>
          <w:kern w:val="0"/>
          <w:sz w:val="22"/>
          <w:szCs w:val="22"/>
          <w:vertAlign w:val="superscript"/>
        </w:rPr>
        <w:t>er</w:t>
      </w:r>
      <w:r w:rsidRPr="00E656E0">
        <w:rPr>
          <w:kern w:val="0"/>
          <w:sz w:val="22"/>
          <w:szCs w:val="22"/>
        </w:rPr>
        <w:t xml:space="preserve"> trimestre 2025.</w:t>
      </w:r>
    </w:p>
    <w:sectPr w:rsidR="00520339" w:rsidRPr="00E656E0">
      <w:pgSz w:w="11906" w:h="16838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969C4"/>
    <w:multiLevelType w:val="hybridMultilevel"/>
    <w:tmpl w:val="A34C2614"/>
    <w:lvl w:ilvl="0" w:tplc="33767BB4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A767C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A3238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ED210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3AE0E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62874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57C41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0CE21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4E23A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FD61A5"/>
    <w:multiLevelType w:val="hybridMultilevel"/>
    <w:tmpl w:val="9836BB3C"/>
    <w:lvl w:ilvl="0" w:tplc="5E7AE410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2488A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E3810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A5462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3F27F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4B214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F6073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076E3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4EE2F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4382442">
    <w:abstractNumId w:val="0"/>
  </w:num>
  <w:num w:numId="2" w16cid:durableId="363556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3D7"/>
    <w:rsid w:val="00520339"/>
    <w:rsid w:val="006A4CF6"/>
    <w:rsid w:val="007143D7"/>
    <w:rsid w:val="008502BD"/>
    <w:rsid w:val="008E2F77"/>
    <w:rsid w:val="009B0861"/>
    <w:rsid w:val="00B81001"/>
    <w:rsid w:val="00E64CEC"/>
    <w:rsid w:val="00E6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B30B6A"/>
  <w15:docId w15:val="{2FD899E7-8840-6042-86CB-B0C34EFE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1" w:lineRule="auto"/>
      <w:ind w:left="10" w:right="544" w:hanging="10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rsid w:val="00E656E0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EDDEB"/>
      <w:spacing w:after="160" w:line="288" w:lineRule="auto"/>
      <w:ind w:left="11" w:right="11" w:hanging="11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E656E0"/>
    <w:rPr>
      <w:rFonts w:ascii="Arial" w:eastAsia="Arial" w:hAnsi="Arial" w:cs="Arial"/>
      <w:b/>
      <w:color w:val="000000"/>
      <w:sz w:val="22"/>
      <w:shd w:val="clear" w:color="auto" w:fill="AEDDEB"/>
    </w:rPr>
  </w:style>
  <w:style w:type="table" w:styleId="Tableausimple3">
    <w:name w:val="Plain Table 3"/>
    <w:basedOn w:val="TableauNormal"/>
    <w:uiPriority w:val="43"/>
    <w:rsid w:val="008E2F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804</Words>
  <Characters>4088</Characters>
  <Application>Microsoft Office Word</Application>
  <DocSecurity>0</DocSecurity>
  <Lines>56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CNU</vt:lpstr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CNU</dc:title>
  <dc:subject/>
  <dc:creator>Marie RAIN</dc:creator>
  <cp:keywords/>
  <cp:lastModifiedBy>Marie RAIN</cp:lastModifiedBy>
  <cp:revision>7</cp:revision>
  <cp:lastPrinted>2025-02-12T16:58:00Z</cp:lastPrinted>
  <dcterms:created xsi:type="dcterms:W3CDTF">2025-01-16T10:42:00Z</dcterms:created>
  <dcterms:modified xsi:type="dcterms:W3CDTF">2025-03-31T10:53:00Z</dcterms:modified>
</cp:coreProperties>
</file>