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B734" w14:textId="2F1672EA" w:rsidR="006F0661" w:rsidRPr="00DA4438" w:rsidRDefault="006D0570" w:rsidP="00DA4438">
      <w:pPr>
        <w:rPr>
          <w:b/>
          <w:bCs/>
        </w:rPr>
      </w:pPr>
      <w:r w:rsidRPr="00DA4438">
        <w:rPr>
          <w:b/>
          <w:bCs/>
        </w:rPr>
        <w:t>Guillaume Sanson</w:t>
      </w:r>
      <w:r w:rsidR="00081319" w:rsidRPr="00DA4438">
        <w:rPr>
          <w:b/>
          <w:bCs/>
        </w:rPr>
        <w:t>e</w:t>
      </w:r>
    </w:p>
    <w:p w14:paraId="0B433814" w14:textId="5483B43B" w:rsidR="0066344B" w:rsidRPr="00DA4438" w:rsidRDefault="0066344B" w:rsidP="00DA4438">
      <w:r w:rsidRPr="00DA4438">
        <w:t>Faculté de droit et sciences politiques</w:t>
      </w:r>
    </w:p>
    <w:p w14:paraId="5BA62D9F" w14:textId="47D63B53" w:rsidR="0066344B" w:rsidRPr="00DA4438" w:rsidRDefault="0066344B" w:rsidP="00DA4438">
      <w:r w:rsidRPr="00DA4438">
        <w:t>Chemin de la censive du Tertre</w:t>
      </w:r>
    </w:p>
    <w:p w14:paraId="04E1ADDF" w14:textId="4F5BA85D" w:rsidR="0066344B" w:rsidRPr="00DA4438" w:rsidRDefault="0066344B" w:rsidP="00DA4438">
      <w:r w:rsidRPr="00DA4438">
        <w:t>BP 81307 - 44313 Nantes cedex 3</w:t>
      </w:r>
    </w:p>
    <w:p w14:paraId="1D5802EE" w14:textId="6CBA5F84" w:rsidR="001971B6" w:rsidRPr="00DA4438" w:rsidRDefault="00000000" w:rsidP="00DA4438">
      <w:hyperlink r:id="rId8" w:history="1">
        <w:r w:rsidR="006634EC" w:rsidRPr="00DA4438">
          <w:rPr>
            <w:rStyle w:val="Lienhypertexte"/>
          </w:rPr>
          <w:t>Guillaume.sansone@univ-nantes.fr</w:t>
        </w:r>
      </w:hyperlink>
    </w:p>
    <w:p w14:paraId="1A622DF6" w14:textId="77777777" w:rsidR="006634EC" w:rsidRPr="00DA4438" w:rsidRDefault="006634EC" w:rsidP="00DA4438"/>
    <w:p w14:paraId="5943DC50" w14:textId="77777777" w:rsidR="0066344B" w:rsidRPr="00DA4438" w:rsidRDefault="0066344B" w:rsidP="00DA4438">
      <w:pPr>
        <w:ind w:left="1134"/>
        <w:rPr>
          <w:b/>
          <w:bCs/>
        </w:rPr>
      </w:pPr>
    </w:p>
    <w:p w14:paraId="214CC9CC" w14:textId="60D7FE4E" w:rsidR="0066344B" w:rsidRPr="00DA4438" w:rsidRDefault="0066344B" w:rsidP="00DA4438">
      <w:pPr>
        <w:ind w:left="1134"/>
      </w:pPr>
      <w:r w:rsidRPr="00DA4438">
        <w:rPr>
          <w:b/>
          <w:bCs/>
        </w:rPr>
        <w:t>Maître de conférences</w:t>
      </w:r>
      <w:r w:rsidRPr="00DA4438">
        <w:t xml:space="preserve">, </w:t>
      </w:r>
    </w:p>
    <w:p w14:paraId="7A050D2F" w14:textId="6F708FA3" w:rsidR="00B75161" w:rsidRPr="00DA4438" w:rsidRDefault="0066344B" w:rsidP="00DA4438">
      <w:pPr>
        <w:ind w:left="1134"/>
      </w:pPr>
      <w:r w:rsidRPr="00DA4438">
        <w:t xml:space="preserve">Institut de recherche en droit privé </w:t>
      </w:r>
      <w:r w:rsidR="002060EE" w:rsidRPr="00DA4438">
        <w:t xml:space="preserve">(IRDP) </w:t>
      </w:r>
    </w:p>
    <w:p w14:paraId="5E77C4D1" w14:textId="5CCF5F8F" w:rsidR="00B75161" w:rsidRPr="00DA4438" w:rsidRDefault="00B75161" w:rsidP="00DA4438">
      <w:pPr>
        <w:ind w:left="1134"/>
        <w:sectPr w:rsidR="00B75161" w:rsidRPr="00DA4438" w:rsidSect="00CA154C">
          <w:type w:val="continuous"/>
          <w:pgSz w:w="11900" w:h="16840"/>
          <w:pgMar w:top="1304" w:right="1077" w:bottom="1304" w:left="1077" w:header="709" w:footer="709" w:gutter="0"/>
          <w:cols w:num="2" w:space="708"/>
          <w:docGrid w:linePitch="360"/>
        </w:sectPr>
      </w:pPr>
      <w:r w:rsidRPr="00DA4438">
        <w:t>Nantes Universit</w:t>
      </w:r>
      <w:r w:rsidR="003974B1">
        <w:t>é</w:t>
      </w:r>
    </w:p>
    <w:p w14:paraId="685009B2" w14:textId="77777777" w:rsidR="006634EC" w:rsidRPr="00DA4438" w:rsidRDefault="006634EC" w:rsidP="00DA4438">
      <w:pPr>
        <w:rPr>
          <w:b/>
          <w:bCs/>
          <w:i/>
          <w:iCs/>
          <w:u w:val="single"/>
        </w:rPr>
      </w:pPr>
    </w:p>
    <w:p w14:paraId="6D7B4227" w14:textId="6D6171D5" w:rsidR="00EB4BA4" w:rsidRPr="00F2495C" w:rsidRDefault="00E01253" w:rsidP="00DA4438">
      <w:pPr>
        <w:shd w:val="clear" w:color="auto" w:fill="E7E6E6" w:themeFill="background2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="0066344B" w:rsidRPr="00F2495C">
        <w:rPr>
          <w:b/>
          <w:bCs/>
          <w:sz w:val="28"/>
          <w:szCs w:val="28"/>
        </w:rPr>
        <w:t xml:space="preserve">PARCOURS UNIVERSITAIRE </w:t>
      </w:r>
      <w:r w:rsidR="00EB4BA4" w:rsidRPr="00F2495C">
        <w:rPr>
          <w:b/>
          <w:bCs/>
          <w:sz w:val="28"/>
          <w:szCs w:val="28"/>
        </w:rPr>
        <w:tab/>
      </w:r>
      <w:r w:rsidR="00EB4BA4" w:rsidRPr="00F2495C">
        <w:rPr>
          <w:b/>
          <w:bCs/>
          <w:sz w:val="28"/>
          <w:szCs w:val="28"/>
        </w:rPr>
        <w:tab/>
      </w:r>
      <w:r w:rsidR="00EB4BA4" w:rsidRPr="00F2495C">
        <w:rPr>
          <w:b/>
          <w:bCs/>
          <w:sz w:val="28"/>
          <w:szCs w:val="28"/>
        </w:rPr>
        <w:tab/>
      </w:r>
      <w:r w:rsidR="00EB4BA4" w:rsidRPr="00F2495C">
        <w:rPr>
          <w:b/>
          <w:bCs/>
          <w:i/>
          <w:iCs/>
          <w:sz w:val="28"/>
          <w:szCs w:val="28"/>
        </w:rPr>
        <w:tab/>
      </w:r>
      <w:r w:rsidR="00EB4BA4" w:rsidRPr="00F2495C">
        <w:rPr>
          <w:b/>
          <w:bCs/>
          <w:i/>
          <w:iCs/>
          <w:sz w:val="28"/>
          <w:szCs w:val="28"/>
        </w:rPr>
        <w:tab/>
      </w:r>
      <w:r w:rsidR="00EB4BA4" w:rsidRPr="00F2495C">
        <w:rPr>
          <w:b/>
          <w:bCs/>
          <w:i/>
          <w:iCs/>
          <w:sz w:val="28"/>
          <w:szCs w:val="28"/>
        </w:rPr>
        <w:tab/>
      </w:r>
      <w:r w:rsidR="00EB4BA4" w:rsidRPr="00F2495C">
        <w:rPr>
          <w:b/>
          <w:bCs/>
          <w:i/>
          <w:iCs/>
          <w:sz w:val="28"/>
          <w:szCs w:val="28"/>
        </w:rPr>
        <w:tab/>
      </w:r>
      <w:r w:rsidR="00EB4BA4" w:rsidRPr="00F2495C">
        <w:rPr>
          <w:b/>
          <w:bCs/>
          <w:i/>
          <w:iCs/>
          <w:sz w:val="28"/>
          <w:szCs w:val="28"/>
        </w:rPr>
        <w:tab/>
      </w:r>
    </w:p>
    <w:p w14:paraId="6F7EC3F3" w14:textId="223758EA" w:rsidR="00EB4BA4" w:rsidRPr="00DA4438" w:rsidRDefault="00EB4BA4" w:rsidP="00DA4438">
      <w:pPr>
        <w:rPr>
          <w:b/>
          <w:bCs/>
          <w:i/>
          <w:iCs/>
        </w:rPr>
      </w:pPr>
    </w:p>
    <w:p w14:paraId="7E8C78AD" w14:textId="28E9D48B" w:rsidR="00DA4438" w:rsidRDefault="00D3490C" w:rsidP="00DA4438">
      <w:r w:rsidRPr="00DA4438">
        <w:t>2020</w:t>
      </w:r>
      <w:r w:rsidR="005B13D2" w:rsidRPr="00DA4438">
        <w:t xml:space="preserve"> -</w:t>
      </w:r>
      <w:r w:rsidRPr="00DA4438">
        <w:tab/>
      </w:r>
      <w:r w:rsidRPr="00DA4438">
        <w:tab/>
      </w:r>
      <w:r w:rsidR="005B13D2" w:rsidRPr="00DA4438">
        <w:tab/>
      </w:r>
      <w:r w:rsidRPr="00DA4438">
        <w:t>Maître de conférences – Nantes Université</w:t>
      </w:r>
    </w:p>
    <w:p w14:paraId="742350CF" w14:textId="77777777" w:rsidR="00DA4438" w:rsidRPr="00DA4438" w:rsidRDefault="00DA4438" w:rsidP="00DA4438"/>
    <w:p w14:paraId="313F3B29" w14:textId="1DFB74B0" w:rsidR="0066344B" w:rsidRDefault="0066344B" w:rsidP="00DA4438">
      <w:r w:rsidRPr="00DA4438">
        <w:t>2020</w:t>
      </w:r>
      <w:r w:rsidRPr="00DA4438">
        <w:tab/>
      </w:r>
      <w:r w:rsidRPr="00DA4438">
        <w:tab/>
      </w:r>
      <w:r w:rsidRPr="00DA4438">
        <w:tab/>
        <w:t>Qualification aux fonctions de Maître de conférences (section 01)</w:t>
      </w:r>
    </w:p>
    <w:p w14:paraId="738DEE94" w14:textId="77777777" w:rsidR="00DA4438" w:rsidRPr="00DA4438" w:rsidRDefault="00DA4438" w:rsidP="00DA4438"/>
    <w:p w14:paraId="03271216" w14:textId="7ED9DE11" w:rsidR="005772B2" w:rsidRPr="00DA4438" w:rsidRDefault="005B13D2" w:rsidP="00DA4438">
      <w:r w:rsidRPr="00DA4438">
        <w:t>2013-2019</w:t>
      </w:r>
      <w:r w:rsidR="0066344B" w:rsidRPr="00DA4438">
        <w:t xml:space="preserve"> </w:t>
      </w:r>
      <w:r w:rsidR="0066344B" w:rsidRPr="00DA4438">
        <w:tab/>
      </w:r>
      <w:r w:rsidR="0066344B" w:rsidRPr="00DA4438">
        <w:tab/>
        <w:t xml:space="preserve">Doctorat </w:t>
      </w:r>
      <w:r w:rsidR="005772B2" w:rsidRPr="00DA4438">
        <w:t xml:space="preserve">en droit – LDPSC, Aix-Marseille Université </w:t>
      </w:r>
    </w:p>
    <w:p w14:paraId="11542FAD" w14:textId="5721E334" w:rsidR="00DA4438" w:rsidRPr="00DA4438" w:rsidRDefault="00DA4438" w:rsidP="00DA4438">
      <w:r w:rsidRPr="00DA4438">
        <w:tab/>
      </w:r>
      <w:r w:rsidRPr="00DA4438">
        <w:tab/>
      </w:r>
      <w:r w:rsidRPr="00DA4438">
        <w:tab/>
        <w:t>Thèse soutenue le 10 décembre 2019</w:t>
      </w:r>
    </w:p>
    <w:p w14:paraId="4FC6E448" w14:textId="5532426D" w:rsidR="005772B2" w:rsidRPr="00DA4438" w:rsidRDefault="005772B2" w:rsidP="00DA4438">
      <w:pPr>
        <w:ind w:left="2120"/>
      </w:pPr>
      <w:r w:rsidRPr="00DA4438">
        <w:t xml:space="preserve">Sujet : </w:t>
      </w:r>
      <w:r w:rsidRPr="00444368">
        <w:rPr>
          <w:i/>
          <w:iCs/>
        </w:rPr>
        <w:t>Les sanctions en procédure civile</w:t>
      </w:r>
      <w:r w:rsidR="00491D08" w:rsidRPr="00DA4438">
        <w:t xml:space="preserve">, </w:t>
      </w:r>
      <w:proofErr w:type="spellStart"/>
      <w:r w:rsidR="00444368">
        <w:t>dir</w:t>
      </w:r>
      <w:proofErr w:type="spellEnd"/>
      <w:r w:rsidR="00444368">
        <w:t>.</w:t>
      </w:r>
      <w:r w:rsidR="00491D08" w:rsidRPr="00DA4438">
        <w:t xml:space="preserve"> Pr. E. PUTMAN</w:t>
      </w:r>
    </w:p>
    <w:p w14:paraId="4EFBB20B" w14:textId="7140D45C" w:rsidR="00DA4438" w:rsidRPr="00DA4438" w:rsidRDefault="00DA4438" w:rsidP="00DA4438">
      <w:pPr>
        <w:pStyle w:val="Paragraphedeliste"/>
        <w:numPr>
          <w:ilvl w:val="0"/>
          <w:numId w:val="17"/>
        </w:numPr>
      </w:pPr>
      <w:r w:rsidRPr="00DA4438">
        <w:t xml:space="preserve">Prix de droit processuel de la faculté de droit d’Aix-Marseille </w:t>
      </w:r>
    </w:p>
    <w:p w14:paraId="60F8321E" w14:textId="42DA0A2B" w:rsidR="00DA4438" w:rsidRPr="00DA4438" w:rsidRDefault="00DA4438" w:rsidP="00DA4438">
      <w:pPr>
        <w:pStyle w:val="Paragraphedeliste"/>
        <w:numPr>
          <w:ilvl w:val="0"/>
          <w:numId w:val="17"/>
        </w:numPr>
      </w:pPr>
      <w:r w:rsidRPr="00DA4438">
        <w:t xml:space="preserve">Prix </w:t>
      </w:r>
      <w:proofErr w:type="spellStart"/>
      <w:r w:rsidRPr="00DA4438">
        <w:t>Lexavoué</w:t>
      </w:r>
      <w:proofErr w:type="spellEnd"/>
    </w:p>
    <w:p w14:paraId="562C90C9" w14:textId="7A9A5073" w:rsidR="005B13D2" w:rsidRDefault="00DA4438" w:rsidP="00DA4438">
      <w:pPr>
        <w:pStyle w:val="Paragraphedeliste"/>
        <w:numPr>
          <w:ilvl w:val="0"/>
          <w:numId w:val="17"/>
        </w:numPr>
      </w:pPr>
      <w:r w:rsidRPr="00DA4438">
        <w:t xml:space="preserve">Prix de l’ordre des avocats au Conseil d’État et à la Cour de cassation </w:t>
      </w:r>
    </w:p>
    <w:p w14:paraId="41D3750A" w14:textId="77777777" w:rsidR="00DA4438" w:rsidRPr="00DA4438" w:rsidRDefault="00DA4438" w:rsidP="00DA4438">
      <w:pPr>
        <w:pStyle w:val="Paragraphedeliste"/>
        <w:ind w:left="2840"/>
      </w:pPr>
    </w:p>
    <w:p w14:paraId="4168EE3E" w14:textId="27E63024" w:rsidR="0066344B" w:rsidRDefault="005B13D2" w:rsidP="00DA4438">
      <w:pPr>
        <w:ind w:left="2120" w:hanging="2120"/>
      </w:pPr>
      <w:r w:rsidRPr="00DA4438">
        <w:t>2012-2013</w:t>
      </w:r>
      <w:r w:rsidR="0066344B" w:rsidRPr="00DA4438">
        <w:tab/>
      </w:r>
      <w:r w:rsidR="0066344B" w:rsidRPr="00DA4438">
        <w:tab/>
      </w:r>
      <w:r w:rsidR="004119CF" w:rsidRPr="00DA4438">
        <w:t>M2</w:t>
      </w:r>
      <w:r w:rsidR="0066344B" w:rsidRPr="00DA4438">
        <w:t xml:space="preserve"> droit privé fondamental (dir. </w:t>
      </w:r>
      <w:r w:rsidR="0091636A" w:rsidRPr="00DA4438">
        <w:t xml:space="preserve">Pr. </w:t>
      </w:r>
      <w:r w:rsidR="0066344B" w:rsidRPr="00DA4438">
        <w:t xml:space="preserve">A. </w:t>
      </w:r>
      <w:r w:rsidR="00E01253">
        <w:t>LEBORGNE</w:t>
      </w:r>
      <w:r w:rsidR="0066344B" w:rsidRPr="00DA4438">
        <w:t xml:space="preserve">) – Aix-Marseille </w:t>
      </w:r>
      <w:r w:rsidR="000E2A61" w:rsidRPr="00DA4438">
        <w:t>U</w:t>
      </w:r>
      <w:r w:rsidR="0066344B" w:rsidRPr="00DA4438">
        <w:t xml:space="preserve">niversité </w:t>
      </w:r>
    </w:p>
    <w:p w14:paraId="24D129B6" w14:textId="77777777" w:rsidR="00DA4438" w:rsidRPr="00DA4438" w:rsidRDefault="00DA4438" w:rsidP="00DA4438">
      <w:pPr>
        <w:ind w:left="2120" w:hanging="2120"/>
      </w:pPr>
    </w:p>
    <w:p w14:paraId="5FF00663" w14:textId="7E6CCDB9" w:rsidR="0066344B" w:rsidRDefault="005B13D2" w:rsidP="00DA4438">
      <w:pPr>
        <w:ind w:left="2120" w:hanging="2120"/>
      </w:pPr>
      <w:r w:rsidRPr="00DA4438">
        <w:t>2011-2012</w:t>
      </w:r>
      <w:r w:rsidR="0066344B" w:rsidRPr="00DA4438">
        <w:tab/>
      </w:r>
      <w:r w:rsidR="0066344B" w:rsidRPr="00DA4438">
        <w:tab/>
      </w:r>
      <w:r w:rsidR="004119CF" w:rsidRPr="00DA4438">
        <w:t>M</w:t>
      </w:r>
      <w:r w:rsidR="0066344B" w:rsidRPr="00DA4438">
        <w:t xml:space="preserve">2 justice et droit du procès (dir. </w:t>
      </w:r>
      <w:r w:rsidR="0091636A" w:rsidRPr="00DA4438">
        <w:t xml:space="preserve">Pr. </w:t>
      </w:r>
      <w:r w:rsidR="0066344B" w:rsidRPr="00DA4438">
        <w:t xml:space="preserve">Ph. </w:t>
      </w:r>
      <w:r w:rsidR="00E01253">
        <w:t>THÉRY</w:t>
      </w:r>
      <w:r w:rsidR="0066344B" w:rsidRPr="00DA4438">
        <w:t>) – Université Panthéon-Assas</w:t>
      </w:r>
    </w:p>
    <w:p w14:paraId="57A09F64" w14:textId="77777777" w:rsidR="00DA4438" w:rsidRPr="00DA4438" w:rsidRDefault="00DA4438" w:rsidP="00DA4438">
      <w:pPr>
        <w:ind w:left="2120" w:hanging="2120"/>
      </w:pPr>
    </w:p>
    <w:p w14:paraId="1CCEFEE3" w14:textId="354180AB" w:rsidR="0066344B" w:rsidRDefault="005B13D2" w:rsidP="00DA4438">
      <w:r w:rsidRPr="00DA4438">
        <w:t>2007-</w:t>
      </w:r>
      <w:r w:rsidR="0066344B" w:rsidRPr="00DA4438">
        <w:t>2010</w:t>
      </w:r>
      <w:r w:rsidR="0066344B" w:rsidRPr="00DA4438">
        <w:tab/>
      </w:r>
      <w:r w:rsidR="0066344B" w:rsidRPr="00DA4438">
        <w:tab/>
        <w:t>Licence droit privé – Université du Sud Toulon-Var</w:t>
      </w:r>
    </w:p>
    <w:p w14:paraId="71DD38FD" w14:textId="77777777" w:rsidR="005266FA" w:rsidRDefault="005266FA" w:rsidP="00DA4438"/>
    <w:p w14:paraId="6A3DA2E9" w14:textId="77777777" w:rsidR="00D62CB0" w:rsidRPr="00DA4438" w:rsidRDefault="00D62CB0" w:rsidP="00DA4438"/>
    <w:p w14:paraId="1EF1049A" w14:textId="3A651391" w:rsidR="00887EF0" w:rsidRPr="00F2495C" w:rsidRDefault="005266FA" w:rsidP="00DA4438">
      <w:pPr>
        <w:shd w:val="clear" w:color="auto" w:fill="E7E6E6" w:themeFill="background2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8A2D64" w:rsidRPr="00F2495C">
        <w:rPr>
          <w:b/>
          <w:bCs/>
          <w:sz w:val="28"/>
          <w:szCs w:val="28"/>
        </w:rPr>
        <w:t xml:space="preserve">ACTIVITÉS DE RECHERCHE </w:t>
      </w:r>
      <w:r w:rsidR="00E01253">
        <w:rPr>
          <w:b/>
          <w:bCs/>
          <w:sz w:val="28"/>
          <w:szCs w:val="28"/>
        </w:rPr>
        <w:t xml:space="preserve">ET D’ANIMATION DE LA RECHERCHE </w:t>
      </w:r>
    </w:p>
    <w:p w14:paraId="7FA061D7" w14:textId="59346557" w:rsidR="001E054F" w:rsidRDefault="001E054F" w:rsidP="00DA4438">
      <w:pPr>
        <w:ind w:left="2832" w:hanging="2832"/>
      </w:pPr>
    </w:p>
    <w:p w14:paraId="3D04BFF2" w14:textId="23946A13" w:rsidR="00E01253" w:rsidRPr="005266FA" w:rsidRDefault="005266FA" w:rsidP="005266FA">
      <w:pPr>
        <w:pStyle w:val="Paragraphedeliste"/>
        <w:numPr>
          <w:ilvl w:val="0"/>
          <w:numId w:val="19"/>
        </w:numPr>
        <w:rPr>
          <w:b/>
          <w:bCs/>
          <w:sz w:val="24"/>
          <w:u w:val="single"/>
        </w:rPr>
      </w:pPr>
      <w:r w:rsidRPr="005266FA">
        <w:rPr>
          <w:b/>
          <w:bCs/>
          <w:sz w:val="24"/>
          <w:u w:val="single"/>
        </w:rPr>
        <w:t xml:space="preserve">Publications </w:t>
      </w:r>
    </w:p>
    <w:p w14:paraId="0081D5BB" w14:textId="77777777" w:rsidR="005266FA" w:rsidRPr="00DA4438" w:rsidRDefault="005266FA" w:rsidP="005266FA">
      <w:pPr>
        <w:pStyle w:val="Paragraphedeliste"/>
      </w:pPr>
    </w:p>
    <w:p w14:paraId="19153C88" w14:textId="14DD2D01" w:rsidR="00887EF0" w:rsidRPr="00DA4438" w:rsidRDefault="00887EF0" w:rsidP="00DA4438">
      <w:pPr>
        <w:ind w:left="2832" w:hanging="2832"/>
        <w:rPr>
          <w:b/>
          <w:bCs/>
        </w:rPr>
      </w:pPr>
      <w:r w:rsidRPr="00DA4438">
        <w:rPr>
          <w:b/>
          <w:bCs/>
        </w:rPr>
        <w:t xml:space="preserve">Ouvrage </w:t>
      </w:r>
    </w:p>
    <w:p w14:paraId="6E199EA8" w14:textId="45176792" w:rsidR="00887EF0" w:rsidRDefault="00887EF0" w:rsidP="00DA4438">
      <w:pPr>
        <w:ind w:firstLine="3"/>
        <w:rPr>
          <w:iCs/>
        </w:rPr>
      </w:pPr>
      <w:r w:rsidRPr="00DA4438">
        <w:t xml:space="preserve">- </w:t>
      </w:r>
      <w:r w:rsidRPr="00DA4438">
        <w:rPr>
          <w:i/>
          <w:iCs/>
        </w:rPr>
        <w:t xml:space="preserve">Les sanctions en procédure civile, </w:t>
      </w:r>
      <w:proofErr w:type="spellStart"/>
      <w:r w:rsidRPr="00DA4438">
        <w:rPr>
          <w:i/>
          <w:iCs/>
        </w:rPr>
        <w:t>préf</w:t>
      </w:r>
      <w:proofErr w:type="spellEnd"/>
      <w:r w:rsidRPr="00DA4438">
        <w:rPr>
          <w:i/>
          <w:iCs/>
        </w:rPr>
        <w:t>. E. Putman, LGDJ, Bibliothèque de droit privé</w:t>
      </w:r>
      <w:r w:rsidR="00C2104D" w:rsidRPr="00DA4438">
        <w:t xml:space="preserve">, </w:t>
      </w:r>
      <w:r w:rsidR="00E9743B" w:rsidRPr="00DA4438">
        <w:t xml:space="preserve">t. 627, </w:t>
      </w:r>
      <w:r w:rsidR="00C2104D" w:rsidRPr="00DA4438">
        <w:t>2023</w:t>
      </w:r>
      <w:r w:rsidR="00806DD7" w:rsidRPr="00DA4438">
        <w:t xml:space="preserve"> (manuscrit actualisé : oct. 2022). </w:t>
      </w:r>
      <w:r w:rsidRPr="00DA4438">
        <w:t>Prix de thèse de l’Ordre des avocats au Conseil d’État et à la Cour de cassation</w:t>
      </w:r>
      <w:r w:rsidR="00F51E41" w:rsidRPr="00DA4438">
        <w:t xml:space="preserve"> 2020</w:t>
      </w:r>
      <w:r w:rsidR="00806DD7" w:rsidRPr="00DA4438">
        <w:t xml:space="preserve"> ; </w:t>
      </w:r>
      <w:r w:rsidRPr="00DA4438">
        <w:t>Prix Lexavoué</w:t>
      </w:r>
      <w:r w:rsidR="00A05F4B" w:rsidRPr="00DA4438">
        <w:t xml:space="preserve"> 2021</w:t>
      </w:r>
      <w:r w:rsidR="00806DD7" w:rsidRPr="00DA4438">
        <w:t xml:space="preserve"> ; </w:t>
      </w:r>
      <w:r w:rsidRPr="00DA4438">
        <w:t xml:space="preserve">Prix de droit processuel de la </w:t>
      </w:r>
      <w:r w:rsidRPr="00DA4438">
        <w:rPr>
          <w:iCs/>
        </w:rPr>
        <w:t>Faculté de droit et de science politique d’Aix-Marseille Université</w:t>
      </w:r>
      <w:r w:rsidR="00365639" w:rsidRPr="00DA4438">
        <w:rPr>
          <w:iCs/>
        </w:rPr>
        <w:t xml:space="preserve"> 2020. </w:t>
      </w:r>
    </w:p>
    <w:p w14:paraId="4AA60AC1" w14:textId="77777777" w:rsidR="008A2D64" w:rsidRDefault="008A2D64" w:rsidP="00DA4438">
      <w:pPr>
        <w:ind w:firstLine="3"/>
        <w:rPr>
          <w:iCs/>
        </w:rPr>
      </w:pPr>
    </w:p>
    <w:p w14:paraId="54926ADB" w14:textId="594548D9" w:rsidR="008A2D64" w:rsidRDefault="008A2D64" w:rsidP="00DA4438">
      <w:pPr>
        <w:ind w:firstLine="3"/>
        <w:rPr>
          <w:iCs/>
        </w:rPr>
      </w:pPr>
      <w:r>
        <w:rPr>
          <w:b/>
          <w:bCs/>
          <w:iCs/>
        </w:rPr>
        <w:t>Contribution à des travaux collectifs</w:t>
      </w:r>
    </w:p>
    <w:p w14:paraId="0AD0A552" w14:textId="645F0155" w:rsidR="00D62CB0" w:rsidRDefault="008A2D64" w:rsidP="00DA4438">
      <w:pPr>
        <w:rPr>
          <w:iCs/>
        </w:rPr>
      </w:pPr>
      <w:r>
        <w:rPr>
          <w:iCs/>
        </w:rPr>
        <w:t xml:space="preserve">- </w:t>
      </w:r>
      <w:r w:rsidRPr="008A2D64">
        <w:rPr>
          <w:iCs/>
        </w:rPr>
        <w:t xml:space="preserve">« L’adaptation des juridictions civiles », </w:t>
      </w:r>
      <w:r w:rsidRPr="00584A7F">
        <w:rPr>
          <w:i/>
          <w:iCs/>
        </w:rPr>
        <w:t>in</w:t>
      </w:r>
      <w:r w:rsidRPr="008A2D64">
        <w:rPr>
          <w:iCs/>
        </w:rPr>
        <w:t xml:space="preserve"> </w:t>
      </w:r>
      <w:bookmarkStart w:id="0" w:name="OLE_LINK19"/>
      <w:bookmarkStart w:id="1" w:name="OLE_LINK20"/>
      <w:r w:rsidRPr="008A2D64">
        <w:rPr>
          <w:iCs/>
        </w:rPr>
        <w:t xml:space="preserve">R. Maurel (dir.), </w:t>
      </w:r>
      <w:bookmarkStart w:id="2" w:name="OLE_LINK17"/>
      <w:bookmarkStart w:id="3" w:name="OLE_LINK18"/>
      <w:r w:rsidRPr="008A2D64">
        <w:rPr>
          <w:i/>
          <w:iCs/>
        </w:rPr>
        <w:t>Éthique des procédures contentieuses face à la pandémie. Approches de droits international et comparé</w:t>
      </w:r>
      <w:bookmarkEnd w:id="2"/>
      <w:bookmarkEnd w:id="3"/>
      <w:r w:rsidRPr="008A2D64">
        <w:t xml:space="preserve">, </w:t>
      </w:r>
      <w:r w:rsidRPr="008A2D64">
        <w:rPr>
          <w:iCs/>
        </w:rPr>
        <w:t>Bruylant</w:t>
      </w:r>
      <w:r w:rsidRPr="008A2D64">
        <w:t xml:space="preserve">, </w:t>
      </w:r>
      <w:r w:rsidRPr="008A2D64">
        <w:rPr>
          <w:iCs/>
        </w:rPr>
        <w:t>oct. 2022</w:t>
      </w:r>
      <w:r>
        <w:rPr>
          <w:iCs/>
        </w:rPr>
        <w:t xml:space="preserve"> (52000 signes)</w:t>
      </w:r>
      <w:bookmarkEnd w:id="0"/>
      <w:bookmarkEnd w:id="1"/>
      <w:r w:rsidR="00F2495C">
        <w:rPr>
          <w:iCs/>
        </w:rPr>
        <w:t>.</w:t>
      </w:r>
    </w:p>
    <w:p w14:paraId="6E3B3700" w14:textId="77777777" w:rsidR="00584A7F" w:rsidRPr="00584A7F" w:rsidRDefault="00584A7F" w:rsidP="00DA4438">
      <w:pPr>
        <w:rPr>
          <w:iCs/>
        </w:rPr>
      </w:pPr>
    </w:p>
    <w:p w14:paraId="30B78B24" w14:textId="41599902" w:rsidR="00D62CB0" w:rsidRDefault="00887EF0" w:rsidP="00DA4438">
      <w:pPr>
        <w:ind w:firstLine="3"/>
        <w:rPr>
          <w:b/>
          <w:bCs/>
          <w:iCs/>
        </w:rPr>
      </w:pPr>
      <w:r w:rsidRPr="00DA4438">
        <w:rPr>
          <w:b/>
          <w:bCs/>
          <w:iCs/>
        </w:rPr>
        <w:t xml:space="preserve">Articles </w:t>
      </w:r>
    </w:p>
    <w:p w14:paraId="29BCB870" w14:textId="17E3EFF5" w:rsidR="00584A7F" w:rsidRPr="00584A7F" w:rsidRDefault="00584A7F" w:rsidP="00DA4438">
      <w:pPr>
        <w:ind w:firstLine="3"/>
        <w:rPr>
          <w:iCs/>
        </w:rPr>
      </w:pPr>
      <w:r>
        <w:rPr>
          <w:iCs/>
        </w:rPr>
        <w:t>- « L’absence d’effet dévolutif, à la recherche d’une inconnue du droit » (à paraître)</w:t>
      </w:r>
    </w:p>
    <w:p w14:paraId="6C793EAC" w14:textId="3FEDF622" w:rsidR="004A31A7" w:rsidRPr="00DA4438" w:rsidRDefault="004A31A7" w:rsidP="00DA4438">
      <w:pPr>
        <w:rPr>
          <w:iCs/>
        </w:rPr>
      </w:pPr>
      <w:bookmarkStart w:id="4" w:name="OLE_LINK15"/>
      <w:bookmarkStart w:id="5" w:name="OLE_LINK16"/>
      <w:r w:rsidRPr="00DA4438">
        <w:rPr>
          <w:iCs/>
        </w:rPr>
        <w:t xml:space="preserve">- « Disponibilité des droits », avec la Pr. B. Fauvarque-Cosson, </w:t>
      </w:r>
      <w:r w:rsidRPr="00DA4438">
        <w:rPr>
          <w:i/>
        </w:rPr>
        <w:t xml:space="preserve">in </w:t>
      </w:r>
      <w:r w:rsidRPr="00DA4438">
        <w:rPr>
          <w:iCs/>
        </w:rPr>
        <w:t xml:space="preserve">V. Égéa (dir.), </w:t>
      </w:r>
      <w:r w:rsidRPr="00DA4438">
        <w:rPr>
          <w:i/>
        </w:rPr>
        <w:t>Dictionnaire des modes alternatifs de règlement des conflit</w:t>
      </w:r>
      <w:r w:rsidRPr="00DA4438">
        <w:rPr>
          <w:iCs/>
        </w:rPr>
        <w:t>, LGDJ</w:t>
      </w:r>
      <w:r w:rsidR="00861449" w:rsidRPr="00DA4438">
        <w:rPr>
          <w:iCs/>
        </w:rPr>
        <w:t xml:space="preserve"> (</w:t>
      </w:r>
      <w:r w:rsidR="009E72CC" w:rsidRPr="00DA4438">
        <w:rPr>
          <w:iCs/>
        </w:rPr>
        <w:t>à paraître</w:t>
      </w:r>
      <w:r w:rsidR="00861449" w:rsidRPr="00DA4438">
        <w:rPr>
          <w:iCs/>
        </w:rPr>
        <w:t xml:space="preserve">). </w:t>
      </w:r>
    </w:p>
    <w:bookmarkEnd w:id="4"/>
    <w:bookmarkEnd w:id="5"/>
    <w:p w14:paraId="49F69A7D" w14:textId="5127F03B" w:rsidR="00D62CB0" w:rsidRDefault="00D62CB0" w:rsidP="00DA4438">
      <w:r w:rsidRPr="00DA4438">
        <w:t xml:space="preserve">- « La fin des ordonnances Covid et ses incidences sur la procédure civile », avec le Pr. V. Égéa, </w:t>
      </w:r>
      <w:r w:rsidRPr="00DA4438">
        <w:rPr>
          <w:i/>
          <w:iCs/>
        </w:rPr>
        <w:t>Dr. fam.</w:t>
      </w:r>
      <w:r w:rsidRPr="00DA4438">
        <w:t xml:space="preserve"> 2020. </w:t>
      </w:r>
      <w:proofErr w:type="gramStart"/>
      <w:r w:rsidRPr="00DA4438">
        <w:t>étude</w:t>
      </w:r>
      <w:proofErr w:type="gramEnd"/>
      <w:r w:rsidRPr="00DA4438">
        <w:t xml:space="preserve"> 22. </w:t>
      </w:r>
    </w:p>
    <w:p w14:paraId="42557186" w14:textId="77777777" w:rsidR="00F2495C" w:rsidRPr="00DA4438" w:rsidRDefault="00F2495C" w:rsidP="00F2495C">
      <w:pPr>
        <w:rPr>
          <w:iCs/>
        </w:rPr>
      </w:pPr>
    </w:p>
    <w:p w14:paraId="62F10B07" w14:textId="77777777" w:rsidR="00F2495C" w:rsidRPr="00DA4438" w:rsidRDefault="00F2495C" w:rsidP="00F2495C">
      <w:pPr>
        <w:ind w:firstLine="3"/>
        <w:rPr>
          <w:b/>
          <w:bCs/>
          <w:iCs/>
        </w:rPr>
      </w:pPr>
      <w:r w:rsidRPr="00DA4438">
        <w:rPr>
          <w:b/>
          <w:bCs/>
          <w:iCs/>
        </w:rPr>
        <w:t xml:space="preserve">Encyclopédies </w:t>
      </w:r>
    </w:p>
    <w:p w14:paraId="5440F438" w14:textId="77777777" w:rsidR="00F2495C" w:rsidRPr="00DA4438" w:rsidRDefault="00F2495C" w:rsidP="00F2495C">
      <w:r w:rsidRPr="00DA4438">
        <w:t xml:space="preserve">- Le juge des contentieux de la protection, </w:t>
      </w:r>
      <w:proofErr w:type="spellStart"/>
      <w:r w:rsidRPr="00DA4438">
        <w:rPr>
          <w:i/>
          <w:iCs/>
        </w:rPr>
        <w:t>Rép</w:t>
      </w:r>
      <w:proofErr w:type="spellEnd"/>
      <w:r w:rsidRPr="00DA4438">
        <w:rPr>
          <w:i/>
          <w:iCs/>
        </w:rPr>
        <w:t xml:space="preserve">. </w:t>
      </w:r>
      <w:proofErr w:type="spellStart"/>
      <w:r w:rsidRPr="00DA4438">
        <w:rPr>
          <w:i/>
          <w:iCs/>
        </w:rPr>
        <w:t>pr</w:t>
      </w:r>
      <w:proofErr w:type="spellEnd"/>
      <w:r w:rsidRPr="00DA4438">
        <w:rPr>
          <w:i/>
          <w:iCs/>
        </w:rPr>
        <w:t>. civ.</w:t>
      </w:r>
      <w:r w:rsidRPr="00DA4438">
        <w:t xml:space="preserve"> </w:t>
      </w:r>
      <w:r w:rsidRPr="00DA4438">
        <w:rPr>
          <w:i/>
          <w:iCs/>
        </w:rPr>
        <w:t>Dalloz</w:t>
      </w:r>
      <w:r w:rsidRPr="00DA4438">
        <w:t>, juill. 2021.</w:t>
      </w:r>
    </w:p>
    <w:p w14:paraId="5AE5D8AA" w14:textId="77777777" w:rsidR="00F2495C" w:rsidRPr="00DA4438" w:rsidRDefault="00F2495C" w:rsidP="00F2495C">
      <w:r w:rsidRPr="00DA4438">
        <w:t xml:space="preserve">- Les demandes nouvelles, </w:t>
      </w:r>
      <w:proofErr w:type="spellStart"/>
      <w:r w:rsidRPr="00DA4438">
        <w:rPr>
          <w:i/>
          <w:iCs/>
        </w:rPr>
        <w:t>Rép</w:t>
      </w:r>
      <w:proofErr w:type="spellEnd"/>
      <w:r w:rsidRPr="00DA4438">
        <w:rPr>
          <w:i/>
          <w:iCs/>
        </w:rPr>
        <w:t xml:space="preserve">. </w:t>
      </w:r>
      <w:proofErr w:type="spellStart"/>
      <w:r w:rsidRPr="00DA4438">
        <w:rPr>
          <w:i/>
          <w:iCs/>
        </w:rPr>
        <w:t>pr</w:t>
      </w:r>
      <w:proofErr w:type="spellEnd"/>
      <w:r w:rsidRPr="00DA4438">
        <w:rPr>
          <w:i/>
          <w:iCs/>
        </w:rPr>
        <w:t>. civ. Dalloz</w:t>
      </w:r>
      <w:r>
        <w:t>, à paraître.</w:t>
      </w:r>
    </w:p>
    <w:p w14:paraId="0437E147" w14:textId="6ECA0C19" w:rsidR="00D62CB0" w:rsidRPr="00DA4438" w:rsidRDefault="00D62CB0" w:rsidP="00DA4438"/>
    <w:p w14:paraId="3A40B87A" w14:textId="476ADCA4" w:rsidR="002A324D" w:rsidRDefault="00D62CB0" w:rsidP="00DA4438">
      <w:pPr>
        <w:rPr>
          <w:b/>
          <w:bCs/>
        </w:rPr>
      </w:pPr>
      <w:r w:rsidRPr="00DA4438">
        <w:rPr>
          <w:b/>
          <w:bCs/>
        </w:rPr>
        <w:lastRenderedPageBreak/>
        <w:t xml:space="preserve">Notes et observations </w:t>
      </w:r>
      <w:bookmarkStart w:id="6" w:name="Commentaire_"/>
    </w:p>
    <w:p w14:paraId="651AA78B" w14:textId="3BB38EF7" w:rsidR="00E00F4B" w:rsidRPr="00E00F4B" w:rsidRDefault="00E00F4B" w:rsidP="00DA4438">
      <w:r>
        <w:t xml:space="preserve">- « Validité de l’assignation remise au JEX par la voie électronique », </w:t>
      </w:r>
      <w:r>
        <w:rPr>
          <w:i/>
          <w:iCs/>
        </w:rPr>
        <w:t>JEX Paris</w:t>
      </w:r>
      <w:r>
        <w:t xml:space="preserve">, 2 mai 2023, RG no 23/80412 : </w:t>
      </w:r>
      <w:r>
        <w:rPr>
          <w:i/>
          <w:iCs/>
        </w:rPr>
        <w:t>Revue pratique du recouvrement</w:t>
      </w:r>
      <w:r>
        <w:t>, juin 2023, Dalloz.</w:t>
      </w:r>
    </w:p>
    <w:p w14:paraId="3875F1F6" w14:textId="5FFF6D8D" w:rsidR="004D5D6B" w:rsidRPr="00E00F4B" w:rsidRDefault="004D5D6B" w:rsidP="00DA4438">
      <w:r>
        <w:t xml:space="preserve">- « Du formalisme raisonné dans les procédures civiles d’exécution », </w:t>
      </w:r>
      <w:r w:rsidR="00E00F4B">
        <w:rPr>
          <w:i/>
          <w:iCs/>
        </w:rPr>
        <w:t>JEX Paris</w:t>
      </w:r>
      <w:r w:rsidR="00E00F4B">
        <w:t xml:space="preserve">, 15 mars 2023, RG no 23/80086 : </w:t>
      </w:r>
      <w:r w:rsidR="00E00F4B">
        <w:rPr>
          <w:i/>
          <w:iCs/>
        </w:rPr>
        <w:t>Revue pratique du recouvrement</w:t>
      </w:r>
      <w:r w:rsidR="00E00F4B">
        <w:t>, mai 2023, Dalloz.</w:t>
      </w:r>
    </w:p>
    <w:p w14:paraId="04ECD9B2" w14:textId="5D7A50AD" w:rsidR="004D5D6B" w:rsidRPr="004D5D6B" w:rsidRDefault="004D5D6B" w:rsidP="00DA4438">
      <w:r>
        <w:t xml:space="preserve">- « Appel en garantie par le tiers saisi : compétence du JEX », </w:t>
      </w:r>
      <w:r>
        <w:rPr>
          <w:i/>
          <w:iCs/>
        </w:rPr>
        <w:t>JEX Paris</w:t>
      </w:r>
      <w:r>
        <w:t xml:space="preserve">, 7 mars 2023, RG no 22/81842 : </w:t>
      </w:r>
      <w:r>
        <w:rPr>
          <w:i/>
          <w:iCs/>
        </w:rPr>
        <w:t>Revue pratique du recouvrement</w:t>
      </w:r>
      <w:r>
        <w:t>, avr. 2023, Dalloz.</w:t>
      </w:r>
    </w:p>
    <w:p w14:paraId="3701812A" w14:textId="40EDFC17" w:rsidR="004D5D6B" w:rsidRPr="004D5D6B" w:rsidRDefault="004D5D6B" w:rsidP="00DA4438">
      <w:r>
        <w:t xml:space="preserve">- « Expulsion du domaine public routier : application ordinaire du CPCE », </w:t>
      </w:r>
      <w:r>
        <w:rPr>
          <w:i/>
          <w:iCs/>
        </w:rPr>
        <w:t>JEX Paris</w:t>
      </w:r>
      <w:r>
        <w:t xml:space="preserve">, 15 nov. 2022, RG no 22/81699 : </w:t>
      </w:r>
      <w:r>
        <w:rPr>
          <w:i/>
          <w:iCs/>
        </w:rPr>
        <w:t>Revue pratique du recouvrement</w:t>
      </w:r>
      <w:r>
        <w:t>, avr. 2023, Dalloz.</w:t>
      </w:r>
    </w:p>
    <w:p w14:paraId="335EAC61" w14:textId="336B50A4" w:rsidR="004D5D6B" w:rsidRPr="004D5D6B" w:rsidRDefault="004D5D6B" w:rsidP="00DA4438">
      <w:r>
        <w:t xml:space="preserve">- « Instrument uniformisé européen pour le recouvrement des créances fiscales : enchevêtrement de compétences juridictionnelles », </w:t>
      </w:r>
      <w:r>
        <w:rPr>
          <w:i/>
          <w:iCs/>
        </w:rPr>
        <w:t>JEX Paris</w:t>
      </w:r>
      <w:r>
        <w:t xml:space="preserve">, 6 fév. 2023, RG no 22/81616 : </w:t>
      </w:r>
      <w:r>
        <w:rPr>
          <w:i/>
          <w:iCs/>
        </w:rPr>
        <w:t>Revue pratique du recouvrement</w:t>
      </w:r>
      <w:r>
        <w:t>, mars 2023, Dalloz.</w:t>
      </w:r>
    </w:p>
    <w:p w14:paraId="2A37771A" w14:textId="0DEC0A95" w:rsidR="004D5D6B" w:rsidRPr="004D5D6B" w:rsidRDefault="004D5D6B" w:rsidP="00DA4438">
      <w:r>
        <w:t xml:space="preserve">- « Liquidation d’une astreinte : contrôle de proportionnalité et caractère personnel de la sanction », </w:t>
      </w:r>
      <w:r>
        <w:rPr>
          <w:i/>
          <w:iCs/>
        </w:rPr>
        <w:t>JEX Paris</w:t>
      </w:r>
      <w:r>
        <w:t xml:space="preserve">, 11 janv. 2023, RG no 22/81127 : </w:t>
      </w:r>
      <w:r>
        <w:rPr>
          <w:i/>
          <w:iCs/>
        </w:rPr>
        <w:t>Revue pratique du recouvrement</w:t>
      </w:r>
      <w:r>
        <w:t xml:space="preserve">, </w:t>
      </w:r>
      <w:proofErr w:type="spellStart"/>
      <w:r>
        <w:t>fév</w:t>
      </w:r>
      <w:proofErr w:type="spellEnd"/>
      <w:r>
        <w:t>, Dalloz.</w:t>
      </w:r>
    </w:p>
    <w:p w14:paraId="3394FCF2" w14:textId="1F841C1E" w:rsidR="004D5D6B" w:rsidRPr="004D5D6B" w:rsidRDefault="004D5D6B" w:rsidP="00DA4438">
      <w:r>
        <w:t xml:space="preserve">- « Ordonnance de saisie conservatoire européenne : éléments de mode d’emploi », </w:t>
      </w:r>
      <w:r>
        <w:rPr>
          <w:i/>
          <w:iCs/>
        </w:rPr>
        <w:t>JEX Paris</w:t>
      </w:r>
      <w:r>
        <w:t xml:space="preserve">, 7 déc. 2022, RG no 22/81585 : </w:t>
      </w:r>
      <w:r>
        <w:rPr>
          <w:i/>
          <w:iCs/>
        </w:rPr>
        <w:t>Revue pratique du recouvrement</w:t>
      </w:r>
      <w:r>
        <w:t>, fév. 2023, Dalloz.</w:t>
      </w:r>
    </w:p>
    <w:p w14:paraId="46AAA08A" w14:textId="2E66AA03" w:rsidR="004D5D6B" w:rsidRPr="004D5D6B" w:rsidRDefault="004D5D6B" w:rsidP="00DA4438">
      <w:r>
        <w:t xml:space="preserve">- « Taux de l’intérêt légal : la créance d’une personne physique née dans l’exercice de son activité libérale ne peut se voir appliquer le taux des particuliers », </w:t>
      </w:r>
      <w:r>
        <w:rPr>
          <w:i/>
          <w:iCs/>
        </w:rPr>
        <w:t>JEX Paris</w:t>
      </w:r>
      <w:r>
        <w:t xml:space="preserve">, 7 déc. 2022, RG no 22/81636 : </w:t>
      </w:r>
      <w:r>
        <w:rPr>
          <w:i/>
          <w:iCs/>
        </w:rPr>
        <w:t>Revue pratique du recouvrement</w:t>
      </w:r>
      <w:r>
        <w:t>, janv. 2023, Dalloz.</w:t>
      </w:r>
    </w:p>
    <w:p w14:paraId="1BE44D4A" w14:textId="20646605" w:rsidR="004D5D6B" w:rsidRPr="004D5D6B" w:rsidRDefault="004D5D6B" w:rsidP="00DA4438">
      <w:r>
        <w:t xml:space="preserve">- « Ne constitue pas un titre exécutoire la décision qui répartit provisoirement entre les époux les dépenses courantes du ménage », </w:t>
      </w:r>
      <w:r>
        <w:rPr>
          <w:i/>
          <w:iCs/>
        </w:rPr>
        <w:t>JEX Paris</w:t>
      </w:r>
      <w:r>
        <w:t xml:space="preserve">, 7 déc. 2022, RG no 22/81636 : </w:t>
      </w:r>
      <w:r>
        <w:rPr>
          <w:i/>
          <w:iCs/>
        </w:rPr>
        <w:t>Revue pratique du recouvrement</w:t>
      </w:r>
      <w:r>
        <w:t>, janv. 2023, Dalloz.</w:t>
      </w:r>
    </w:p>
    <w:p w14:paraId="0CA06002" w14:textId="01A46C88" w:rsidR="004D5D6B" w:rsidRPr="004D5D6B" w:rsidRDefault="004D5D6B" w:rsidP="00DA4438">
      <w:r>
        <w:t xml:space="preserve">- « Exception de litispendance opposée à une demande de délai pour quitter les lieux », </w:t>
      </w:r>
      <w:r>
        <w:rPr>
          <w:i/>
          <w:iCs/>
        </w:rPr>
        <w:t>JEX Paris</w:t>
      </w:r>
      <w:r>
        <w:t xml:space="preserve">, 26 oct. 2022, RG no 22/80843 : </w:t>
      </w:r>
      <w:r>
        <w:rPr>
          <w:i/>
          <w:iCs/>
        </w:rPr>
        <w:t>Revue pratique du recouvrement</w:t>
      </w:r>
      <w:r>
        <w:t>, déc. 2022, Dalloz.</w:t>
      </w:r>
    </w:p>
    <w:p w14:paraId="216BB931" w14:textId="4F97C654" w:rsidR="004D5D6B" w:rsidRPr="004D5D6B" w:rsidRDefault="004D5D6B" w:rsidP="00DA4438">
      <w:r>
        <w:t xml:space="preserve">- « Office du JEX et délais de contestation en matière d’exécution forcée », </w:t>
      </w:r>
      <w:r>
        <w:rPr>
          <w:i/>
          <w:iCs/>
        </w:rPr>
        <w:t>JEX Paris</w:t>
      </w:r>
      <w:r>
        <w:t xml:space="preserve">, 12 oct. 2022, RG no 22/80717 : </w:t>
      </w:r>
      <w:r>
        <w:rPr>
          <w:i/>
          <w:iCs/>
        </w:rPr>
        <w:t>Revue pratique du recouvrement</w:t>
      </w:r>
      <w:r>
        <w:t>, déc. 2022, Dalloz.</w:t>
      </w:r>
    </w:p>
    <w:p w14:paraId="39E9190C" w14:textId="1EF7BF1F" w:rsidR="002218BC" w:rsidRPr="002218BC" w:rsidRDefault="002218BC" w:rsidP="00DA4438">
      <w:r>
        <w:t xml:space="preserve">- « Sort des meubles de l’expulsé : précisions procédurales », </w:t>
      </w:r>
      <w:r>
        <w:rPr>
          <w:i/>
          <w:iCs/>
        </w:rPr>
        <w:t>JEX Paris</w:t>
      </w:r>
      <w:r>
        <w:t xml:space="preserve">, 7 sept. 2022, RG no 22/81128 : </w:t>
      </w:r>
      <w:r>
        <w:rPr>
          <w:i/>
          <w:iCs/>
        </w:rPr>
        <w:t>Revue pratique du recouvrement</w:t>
      </w:r>
      <w:r>
        <w:t xml:space="preserve">, nov. 2022. </w:t>
      </w:r>
    </w:p>
    <w:p w14:paraId="52EAD02D" w14:textId="081C1F4A" w:rsidR="002218BC" w:rsidRPr="002218BC" w:rsidRDefault="002218BC" w:rsidP="00DA4438">
      <w:r>
        <w:t xml:space="preserve">- « Mainlevée spontanée de la saisie conservatoire : responsabilité sans faute du saisissant », </w:t>
      </w:r>
      <w:r>
        <w:rPr>
          <w:i/>
          <w:iCs/>
        </w:rPr>
        <w:t>JEX Paris</w:t>
      </w:r>
      <w:r>
        <w:t xml:space="preserve">, 7 juill. 2022, RG no 22/80182 : </w:t>
      </w:r>
      <w:r>
        <w:rPr>
          <w:i/>
          <w:iCs/>
        </w:rPr>
        <w:t>Revue pratique du recouvrement</w:t>
      </w:r>
      <w:r>
        <w:t>, sept. 2022, Dalloz.</w:t>
      </w:r>
    </w:p>
    <w:p w14:paraId="717AC2B8" w14:textId="7709ED8A" w:rsidR="002218BC" w:rsidRPr="002218BC" w:rsidRDefault="002218BC" w:rsidP="00DA4438">
      <w:r>
        <w:t xml:space="preserve">- « Expulsion et commandement de quitter sans délai », </w:t>
      </w:r>
      <w:r>
        <w:rPr>
          <w:i/>
          <w:iCs/>
        </w:rPr>
        <w:t>JEX Paris</w:t>
      </w:r>
      <w:r>
        <w:t xml:space="preserve">, 21 avr. 2022, RG no 22/80300 : </w:t>
      </w:r>
      <w:r>
        <w:rPr>
          <w:i/>
          <w:iCs/>
        </w:rPr>
        <w:t>Revue pratique du recouvrement</w:t>
      </w:r>
      <w:r>
        <w:t>, juillet-août 2022, Dalloz.</w:t>
      </w:r>
    </w:p>
    <w:p w14:paraId="1B722283" w14:textId="1D236231" w:rsidR="00FA04BF" w:rsidRPr="00FA04BF" w:rsidRDefault="00FA04BF" w:rsidP="00DA4438">
      <w:r>
        <w:t xml:space="preserve">- « Mesures conservatoires et pouvoirs du JEX », </w:t>
      </w:r>
      <w:r>
        <w:rPr>
          <w:i/>
          <w:iCs/>
        </w:rPr>
        <w:t>JEX Paris</w:t>
      </w:r>
      <w:r>
        <w:t xml:space="preserve">, 16 juin 2022, RG no 22/80513 et 21 avr. 2022, RG no 22/80098 : </w:t>
      </w:r>
      <w:r>
        <w:rPr>
          <w:i/>
          <w:iCs/>
        </w:rPr>
        <w:t>Revue pratique du recouvrement</w:t>
      </w:r>
      <w:r>
        <w:t>, juillet-août 2022, Dalloz.</w:t>
      </w:r>
    </w:p>
    <w:p w14:paraId="0DF8A5E8" w14:textId="483500D8" w:rsidR="00FA04BF" w:rsidRPr="00FA04BF" w:rsidRDefault="00FA04BF" w:rsidP="00DA4438">
      <w:r>
        <w:t xml:space="preserve">- « Compensation et saisie conservatoire », </w:t>
      </w:r>
      <w:r>
        <w:rPr>
          <w:i/>
          <w:iCs/>
        </w:rPr>
        <w:t>JEX Paris</w:t>
      </w:r>
      <w:r>
        <w:t xml:space="preserve">, 31 mars 2022, RG no 21/82098 et </w:t>
      </w:r>
      <w:r>
        <w:rPr>
          <w:i/>
          <w:iCs/>
        </w:rPr>
        <w:t>JEX Paris</w:t>
      </w:r>
      <w:r>
        <w:t xml:space="preserve">, 31 mars 2022, RG no 21/82061 : </w:t>
      </w:r>
      <w:r>
        <w:rPr>
          <w:i/>
          <w:iCs/>
        </w:rPr>
        <w:t>Revue pratique du recouvrement</w:t>
      </w:r>
      <w:r>
        <w:t>, juin 2022, Dalloz.</w:t>
      </w:r>
    </w:p>
    <w:p w14:paraId="1711EA9A" w14:textId="06C9FCEC" w:rsidR="00FA04BF" w:rsidRPr="00FA04BF" w:rsidRDefault="00FA04BF" w:rsidP="00DA4438">
      <w:r>
        <w:t xml:space="preserve">- « Taux de l’intérêt légal dû au subrogé personne morale lorsque le subrogeant aurait droit au taux des particuliers », </w:t>
      </w:r>
      <w:r>
        <w:rPr>
          <w:i/>
          <w:iCs/>
        </w:rPr>
        <w:t>JEX Paris</w:t>
      </w:r>
      <w:r>
        <w:t xml:space="preserve">, 20 avr. 2022, RG no 2021/A2867 : </w:t>
      </w:r>
      <w:r>
        <w:rPr>
          <w:i/>
          <w:iCs/>
        </w:rPr>
        <w:t>Revue pratique du recouvrement</w:t>
      </w:r>
      <w:r>
        <w:t>, mai 2022, Dalloz.</w:t>
      </w:r>
    </w:p>
    <w:p w14:paraId="768577CD" w14:textId="12FD361E" w:rsidR="00FA04BF" w:rsidRPr="00FA04BF" w:rsidRDefault="00FA04BF" w:rsidP="00DA4438">
      <w:r>
        <w:t xml:space="preserve">- « Saisie-attribution par voie oblique contre l’assureur d’un débiteur négligent », </w:t>
      </w:r>
      <w:r>
        <w:rPr>
          <w:i/>
          <w:iCs/>
        </w:rPr>
        <w:t>JEX Paris</w:t>
      </w:r>
      <w:r>
        <w:t xml:space="preserve">, 10 fév. 2022, RG no 21/82089 : </w:t>
      </w:r>
      <w:r>
        <w:rPr>
          <w:i/>
          <w:iCs/>
        </w:rPr>
        <w:t>Revue pratique du recouvrement</w:t>
      </w:r>
      <w:r>
        <w:t>, avril 2022, Dalloz.</w:t>
      </w:r>
    </w:p>
    <w:p w14:paraId="66672611" w14:textId="53E7967F" w:rsidR="00FA04BF" w:rsidRPr="00FA04BF" w:rsidRDefault="00FA04BF" w:rsidP="00DA4438">
      <w:r>
        <w:t xml:space="preserve">- « Pouvoir du JEX de prononcer des DI à l’occasion d’une demande d’astreinte », </w:t>
      </w:r>
      <w:r>
        <w:rPr>
          <w:i/>
          <w:iCs/>
        </w:rPr>
        <w:t>JEX Paris</w:t>
      </w:r>
      <w:r>
        <w:t xml:space="preserve">, 10 fév. 2022, RG no 21/81781 : </w:t>
      </w:r>
      <w:r>
        <w:rPr>
          <w:i/>
          <w:iCs/>
        </w:rPr>
        <w:t>Revue pratique du recouvrement</w:t>
      </w:r>
      <w:r>
        <w:t>, avril 2022, Dalloz.</w:t>
      </w:r>
    </w:p>
    <w:p w14:paraId="7E79659C" w14:textId="7A213124" w:rsidR="00FA04BF" w:rsidRPr="00FA04BF" w:rsidRDefault="00FA04BF" w:rsidP="00DA4438">
      <w:r>
        <w:t xml:space="preserve">- « Compétence exclusive du JEX en matière de contestation relative aux frais de l’exécution forcée », </w:t>
      </w:r>
      <w:r>
        <w:rPr>
          <w:i/>
          <w:iCs/>
        </w:rPr>
        <w:t>JEX Paris</w:t>
      </w:r>
      <w:r>
        <w:t xml:space="preserve">, ord. 15 fév. 2022, RG no 21/00215 : </w:t>
      </w:r>
      <w:r>
        <w:rPr>
          <w:i/>
          <w:iCs/>
        </w:rPr>
        <w:t>Revue pratique du recouvrement</w:t>
      </w:r>
      <w:r>
        <w:t>, mars 2022, Dalloz.</w:t>
      </w:r>
    </w:p>
    <w:p w14:paraId="1BE97884" w14:textId="43390B75" w:rsidR="00FA04BF" w:rsidRPr="00FA04BF" w:rsidRDefault="00FA04BF" w:rsidP="00DA4438">
      <w:r>
        <w:t xml:space="preserve">- « Saisie-attribution : mention de la date d’expiration du délai de contestation dans une dénonciation faite à l’étranger », </w:t>
      </w:r>
      <w:r>
        <w:rPr>
          <w:i/>
          <w:iCs/>
        </w:rPr>
        <w:t>JEX Paris</w:t>
      </w:r>
      <w:r>
        <w:t xml:space="preserve">, 3 janv. 2022, RG no 21/81534 : </w:t>
      </w:r>
      <w:r>
        <w:rPr>
          <w:i/>
          <w:iCs/>
        </w:rPr>
        <w:t>Revue pratique du recouvrement</w:t>
      </w:r>
      <w:r>
        <w:t>, mars 2022, Dalloz.</w:t>
      </w:r>
    </w:p>
    <w:p w14:paraId="5A9DBD07" w14:textId="6EAA7222" w:rsidR="00FA04BF" w:rsidRPr="00FA04BF" w:rsidRDefault="00FA04BF" w:rsidP="00DA4438">
      <w:r>
        <w:t xml:space="preserve">- « La prescription de l’exécution du certificat de vérification des dépens est quinquennale », </w:t>
      </w:r>
      <w:r>
        <w:rPr>
          <w:i/>
          <w:iCs/>
        </w:rPr>
        <w:t>JEX Paris</w:t>
      </w:r>
      <w:r>
        <w:t xml:space="preserve">, 8 nov. 2021, RG no 21/80783 : </w:t>
      </w:r>
      <w:r>
        <w:rPr>
          <w:i/>
          <w:iCs/>
        </w:rPr>
        <w:t>Revue pratique du recouvrement</w:t>
      </w:r>
      <w:r>
        <w:t>, fév. 2022, Dalloz.</w:t>
      </w:r>
    </w:p>
    <w:p w14:paraId="076B0FF1" w14:textId="2B0ADBC4" w:rsidR="00FA04BF" w:rsidRPr="00FA04BF" w:rsidRDefault="00FA04BF" w:rsidP="00DA4438">
      <w:r>
        <w:t xml:space="preserve">- « Même en matière de consommation, le délai de prescription des intérêts capitalisés est celui du titre », </w:t>
      </w:r>
      <w:r>
        <w:rPr>
          <w:i/>
          <w:iCs/>
        </w:rPr>
        <w:t>JEX Paris</w:t>
      </w:r>
      <w:r>
        <w:t xml:space="preserve">, 7 janv. 2022, RG no 22/009715 : </w:t>
      </w:r>
      <w:r>
        <w:rPr>
          <w:i/>
          <w:iCs/>
        </w:rPr>
        <w:t>Revue pratique du recouvrement</w:t>
      </w:r>
      <w:r>
        <w:t>, fév. 2022, Dalloz.</w:t>
      </w:r>
    </w:p>
    <w:p w14:paraId="5A1C9B85" w14:textId="711D2D98" w:rsidR="00101011" w:rsidRPr="00101011" w:rsidRDefault="00101011" w:rsidP="00DA4438">
      <w:r>
        <w:t xml:space="preserve">- « Le juge ne peut constater la nullité d’un acte de procédure au passage », </w:t>
      </w:r>
      <w:r>
        <w:rPr>
          <w:i/>
          <w:iCs/>
        </w:rPr>
        <w:t>JEX Paris</w:t>
      </w:r>
      <w:r>
        <w:t xml:space="preserve">, 25 nov. 2021, RG no 21/81273 : </w:t>
      </w:r>
      <w:r>
        <w:rPr>
          <w:i/>
          <w:iCs/>
        </w:rPr>
        <w:t>Revue pratique du recouvrement</w:t>
      </w:r>
      <w:r>
        <w:t xml:space="preserve">, </w:t>
      </w:r>
      <w:r w:rsidR="00FA04BF">
        <w:t>fév</w:t>
      </w:r>
      <w:r>
        <w:t>. 2022, Dalloz.</w:t>
      </w:r>
    </w:p>
    <w:p w14:paraId="2089C2C1" w14:textId="20864548" w:rsidR="00101011" w:rsidRPr="00101011" w:rsidRDefault="00101011" w:rsidP="00DA4438">
      <w:r>
        <w:lastRenderedPageBreak/>
        <w:t xml:space="preserve">- « Intérêt à agir pour dénoncer une saisie-attribution infructueuse », </w:t>
      </w:r>
      <w:r>
        <w:rPr>
          <w:i/>
          <w:iCs/>
        </w:rPr>
        <w:t>JEX Paris</w:t>
      </w:r>
      <w:r>
        <w:t xml:space="preserve">, 18 nov. 2021, RG no 21/81482 : </w:t>
      </w:r>
      <w:r>
        <w:rPr>
          <w:i/>
          <w:iCs/>
        </w:rPr>
        <w:t>Revue pratique du recouvrement</w:t>
      </w:r>
      <w:r>
        <w:t>, janv. 2022, Dalloz.</w:t>
      </w:r>
    </w:p>
    <w:p w14:paraId="307FD3D1" w14:textId="2F3F0AB0" w:rsidR="00101011" w:rsidRPr="00101011" w:rsidRDefault="00101011" w:rsidP="00DA4438">
      <w:r>
        <w:t xml:space="preserve">- « Insaisissabilité des remboursements de complémentaire santé », </w:t>
      </w:r>
      <w:r>
        <w:rPr>
          <w:i/>
          <w:iCs/>
        </w:rPr>
        <w:t>JEX Paris</w:t>
      </w:r>
      <w:r>
        <w:t xml:space="preserve">, 28 oct. 2021, RG no 21/81260 : </w:t>
      </w:r>
      <w:r>
        <w:rPr>
          <w:i/>
          <w:iCs/>
        </w:rPr>
        <w:t>Revue pratique du recouvrement</w:t>
      </w:r>
      <w:r>
        <w:t>, janv. 2022, Dalloz.</w:t>
      </w:r>
    </w:p>
    <w:p w14:paraId="5C500019" w14:textId="08DA0F0B" w:rsidR="00A65185" w:rsidRPr="00A65185" w:rsidRDefault="00A65185" w:rsidP="00DA4438">
      <w:r>
        <w:t xml:space="preserve">- « Pouvoirs du JEX pour trancher une exception de compensation », </w:t>
      </w:r>
      <w:r>
        <w:rPr>
          <w:i/>
          <w:iCs/>
        </w:rPr>
        <w:t>JEX Paris</w:t>
      </w:r>
      <w:r>
        <w:t xml:space="preserve">, 14 oct. 2021, RG no 21/81253 et </w:t>
      </w:r>
      <w:r>
        <w:rPr>
          <w:i/>
          <w:iCs/>
        </w:rPr>
        <w:t>JEX Paris</w:t>
      </w:r>
      <w:r>
        <w:t xml:space="preserve">, 17 nov. 2021, RG no 21/81457 : </w:t>
      </w:r>
      <w:r>
        <w:rPr>
          <w:i/>
          <w:iCs/>
        </w:rPr>
        <w:t>Revue pratique du recouvrement</w:t>
      </w:r>
      <w:r>
        <w:t>, nov. 2021, Dalloz.</w:t>
      </w:r>
    </w:p>
    <w:p w14:paraId="00374C0A" w14:textId="13631CAE" w:rsidR="002A324D" w:rsidRPr="002A324D" w:rsidRDefault="002A324D" w:rsidP="00DA4438">
      <w:r>
        <w:t xml:space="preserve">- « Recouvrement d’intérêts prescrits : </w:t>
      </w:r>
      <w:proofErr w:type="gramStart"/>
      <w:r>
        <w:t>attention,  risque</w:t>
      </w:r>
      <w:proofErr w:type="gramEnd"/>
      <w:r>
        <w:t xml:space="preserve"> pénal ! », </w:t>
      </w:r>
      <w:r>
        <w:rPr>
          <w:i/>
          <w:iCs/>
        </w:rPr>
        <w:t>JEX Paris</w:t>
      </w:r>
      <w:r>
        <w:t xml:space="preserve">, 7 oct. 2021, RG no 21/81135 : </w:t>
      </w:r>
      <w:r>
        <w:rPr>
          <w:i/>
          <w:iCs/>
        </w:rPr>
        <w:t>Revue pratique du recouvrement</w:t>
      </w:r>
      <w:r>
        <w:t>, nov. 2021, Dalloz.</w:t>
      </w:r>
    </w:p>
    <w:p w14:paraId="21D7284E" w14:textId="4DACFB73" w:rsidR="002A324D" w:rsidRPr="002A324D" w:rsidRDefault="002A324D" w:rsidP="00DA4438">
      <w:r>
        <w:t xml:space="preserve">- « Incidence d’une ordonnance de référé sur l’appréciation du principe de créance par le JEX en saisie conservatoire », </w:t>
      </w:r>
      <w:r>
        <w:rPr>
          <w:i/>
          <w:iCs/>
        </w:rPr>
        <w:t>JEX Paris</w:t>
      </w:r>
      <w:r>
        <w:t xml:space="preserve">, 16 sept. 2021, RG no 21/80747 : </w:t>
      </w:r>
      <w:r>
        <w:rPr>
          <w:i/>
          <w:iCs/>
        </w:rPr>
        <w:t>Revue pratique du recouvrement</w:t>
      </w:r>
      <w:r>
        <w:t>, nov. 2021, Dalloz.</w:t>
      </w:r>
    </w:p>
    <w:p w14:paraId="39D54F77" w14:textId="699F5D9C" w:rsidR="002A324D" w:rsidRPr="002A324D" w:rsidRDefault="002A324D" w:rsidP="00DA4438">
      <w:r>
        <w:t xml:space="preserve">- « Qualité à agir en demande de séquestre des sommes appréhendées par une saisie-attribution », </w:t>
      </w:r>
      <w:r>
        <w:rPr>
          <w:i/>
          <w:iCs/>
        </w:rPr>
        <w:t>JEX Paris</w:t>
      </w:r>
      <w:r>
        <w:t xml:space="preserve">, 16 sept. 2021, RG no 21/80822 : </w:t>
      </w:r>
      <w:r>
        <w:rPr>
          <w:i/>
          <w:iCs/>
        </w:rPr>
        <w:t>Revue pratique du recouvrement</w:t>
      </w:r>
      <w:r>
        <w:t>, nov. 2021, Dalloz.</w:t>
      </w:r>
    </w:p>
    <w:p w14:paraId="31083BBE" w14:textId="7676778D" w:rsidR="002A324D" w:rsidRPr="002A324D" w:rsidRDefault="002A324D" w:rsidP="00DA4438">
      <w:r>
        <w:t xml:space="preserve">- « Nullité de l’acte de procédure accompli par un créancier dessaisi du fait de la procédure collective », </w:t>
      </w:r>
      <w:r>
        <w:rPr>
          <w:i/>
          <w:iCs/>
        </w:rPr>
        <w:t>JEX Paris</w:t>
      </w:r>
      <w:r>
        <w:t xml:space="preserve">, 8 juill. 2021, RG no 21/80307 : </w:t>
      </w:r>
      <w:r>
        <w:rPr>
          <w:i/>
          <w:iCs/>
        </w:rPr>
        <w:t>Revue pratique du recouvrement</w:t>
      </w:r>
      <w:r>
        <w:t>, oct. 2021, Dalloz.</w:t>
      </w:r>
    </w:p>
    <w:p w14:paraId="0F41402F" w14:textId="2B0D1C6D" w:rsidR="002A324D" w:rsidRPr="002A324D" w:rsidRDefault="002A324D" w:rsidP="00DA4438">
      <w:r>
        <w:t xml:space="preserve">- « Point de départ du délai de prescription de l’action en liquidation d’une astreinte », </w:t>
      </w:r>
      <w:r>
        <w:rPr>
          <w:i/>
          <w:iCs/>
        </w:rPr>
        <w:t>JEX Paris</w:t>
      </w:r>
      <w:r>
        <w:t xml:space="preserve">, 24 juin 2021, RG no 21/80464 : </w:t>
      </w:r>
      <w:r>
        <w:rPr>
          <w:i/>
          <w:iCs/>
        </w:rPr>
        <w:t>Revue pratique du recouvrement</w:t>
      </w:r>
      <w:r>
        <w:t>, oct. 2021, Dalloz.</w:t>
      </w:r>
    </w:p>
    <w:p w14:paraId="702C2970" w14:textId="296B2A44" w:rsidR="002A324D" w:rsidRPr="002A324D" w:rsidRDefault="002A324D" w:rsidP="00DA4438">
      <w:r>
        <w:t xml:space="preserve">- « Compétence du JEX pour connaître des actions en refus de reconnaissance et d’exécution prévues par le règlement Bruxelles I bis », obs. sous </w:t>
      </w:r>
      <w:r>
        <w:rPr>
          <w:i/>
          <w:iCs/>
        </w:rPr>
        <w:t>JEX TJ Paris</w:t>
      </w:r>
      <w:r>
        <w:t>, 1</w:t>
      </w:r>
      <w:r w:rsidRPr="002A324D">
        <w:rPr>
          <w:vertAlign w:val="superscript"/>
        </w:rPr>
        <w:t>er</w:t>
      </w:r>
      <w:r>
        <w:t xml:space="preserve"> juill. 2021, RG no 21/80506 : </w:t>
      </w:r>
      <w:r>
        <w:rPr>
          <w:i/>
          <w:iCs/>
        </w:rPr>
        <w:t>Revue pratique du recouvrement</w:t>
      </w:r>
      <w:r>
        <w:t>, oct. 2021, Dalloz.</w:t>
      </w:r>
    </w:p>
    <w:p w14:paraId="1CBD18D9" w14:textId="617F6AAC" w:rsidR="00584A7F" w:rsidRPr="00584A7F" w:rsidRDefault="00584A7F" w:rsidP="00DA4438">
      <w:r>
        <w:t xml:space="preserve">- « Astreinte : la charge de la preuve du manquement à une injonction de faire ou de ne pas faire », </w:t>
      </w:r>
      <w:r>
        <w:rPr>
          <w:i/>
          <w:iCs/>
        </w:rPr>
        <w:t>JEX Paris</w:t>
      </w:r>
      <w:r>
        <w:t xml:space="preserve">, 24 juin 2021, RG no 21/80840 : </w:t>
      </w:r>
      <w:r>
        <w:rPr>
          <w:i/>
          <w:iCs/>
        </w:rPr>
        <w:t>Revue pratique du recouvrement</w:t>
      </w:r>
      <w:r>
        <w:t>, sept. 2021, Dalloz.</w:t>
      </w:r>
    </w:p>
    <w:p w14:paraId="2F87D7F5" w14:textId="5ABCEC2B" w:rsidR="00584A7F" w:rsidRPr="00584A7F" w:rsidRDefault="00584A7F" w:rsidP="00DA4438">
      <w:r>
        <w:t xml:space="preserve">- « Les risques de l’exécution forcée poursuivie en vertu d’une ordonnance de référé », </w:t>
      </w:r>
      <w:r>
        <w:rPr>
          <w:i/>
          <w:iCs/>
        </w:rPr>
        <w:t>JEX Paris</w:t>
      </w:r>
      <w:r>
        <w:t xml:space="preserve">, 10 juin 2021, RG no 20/81557 : </w:t>
      </w:r>
      <w:r>
        <w:rPr>
          <w:i/>
          <w:iCs/>
        </w:rPr>
        <w:t>Revue pratique du recouvrement</w:t>
      </w:r>
      <w:r>
        <w:t>, sept. 2021, Dalloz.</w:t>
      </w:r>
    </w:p>
    <w:p w14:paraId="293785AD" w14:textId="3B506BE2" w:rsidR="00584A7F" w:rsidRPr="00584A7F" w:rsidRDefault="00584A7F" w:rsidP="00DA4438">
      <w:r>
        <w:t xml:space="preserve">- « Enfant créancier des parents en vertu d’un jugement de divorce homologué », </w:t>
      </w:r>
      <w:r>
        <w:rPr>
          <w:i/>
          <w:iCs/>
        </w:rPr>
        <w:t>JEX Paris</w:t>
      </w:r>
      <w:r>
        <w:t xml:space="preserve">, 10 juin 2021, RG no 21/80693 : </w:t>
      </w:r>
      <w:r>
        <w:rPr>
          <w:i/>
          <w:iCs/>
        </w:rPr>
        <w:t>Revue pratique du recouvrement</w:t>
      </w:r>
      <w:r>
        <w:t xml:space="preserve">, sept. 2021, Dalloz. </w:t>
      </w:r>
    </w:p>
    <w:p w14:paraId="0E499B11" w14:textId="0E21FCE5" w:rsidR="00584A7F" w:rsidRPr="00584A7F" w:rsidRDefault="00584A7F" w:rsidP="00584A7F">
      <w:pPr>
        <w:jc w:val="left"/>
      </w:pPr>
      <w:r>
        <w:t xml:space="preserve">- « Exécution forcée du jugement obtenu par une action </w:t>
      </w:r>
      <w:r>
        <w:rPr>
          <w:i/>
          <w:iCs/>
        </w:rPr>
        <w:t>ut singuli, JEX Paris</w:t>
      </w:r>
      <w:r>
        <w:t xml:space="preserve">, 27 mai 2021, RG no 20/81667 : </w:t>
      </w:r>
      <w:r>
        <w:rPr>
          <w:i/>
          <w:iCs/>
        </w:rPr>
        <w:t>Revue pratique du recouvrement</w:t>
      </w:r>
      <w:r>
        <w:t xml:space="preserve">, sept. 2021, Dalloz. </w:t>
      </w:r>
    </w:p>
    <w:p w14:paraId="2E3BF50F" w14:textId="1DC0F37C" w:rsidR="00584A7F" w:rsidRPr="00584A7F" w:rsidRDefault="00584A7F" w:rsidP="00584A7F">
      <w:pPr>
        <w:jc w:val="left"/>
      </w:pPr>
      <w:r>
        <w:t xml:space="preserve">- « La territorialité des mesures d’exécution, la résistance abusive du débiteur et l’appréciation de la menace sur le recouvrement », obs. sous </w:t>
      </w:r>
      <w:r>
        <w:rPr>
          <w:i/>
          <w:iCs/>
        </w:rPr>
        <w:t>JEX Paris</w:t>
      </w:r>
      <w:r>
        <w:t xml:space="preserve">, 17 mai 2021 no RG 20/81883 et </w:t>
      </w:r>
      <w:r>
        <w:rPr>
          <w:i/>
          <w:iCs/>
        </w:rPr>
        <w:t>JEX Paris</w:t>
      </w:r>
      <w:r>
        <w:t xml:space="preserve">, 18 mars 2021, RG no 20/81520 : </w:t>
      </w:r>
      <w:r>
        <w:rPr>
          <w:i/>
          <w:iCs/>
        </w:rPr>
        <w:t>Revue pratique du recouvrement</w:t>
      </w:r>
      <w:r>
        <w:t xml:space="preserve">, juillet-aout 2021, Dalloz. </w:t>
      </w:r>
    </w:p>
    <w:p w14:paraId="4EC86274" w14:textId="1EDD636C" w:rsidR="001021D5" w:rsidRPr="00584A7F" w:rsidRDefault="00584A7F" w:rsidP="00DA4438">
      <w:r w:rsidRPr="00584A7F">
        <w:t xml:space="preserve">- </w:t>
      </w:r>
      <w:r>
        <w:t xml:space="preserve">« L’exonération de la majoration du taux de l’intérêt légal peut être rétroactive », obs. sous </w:t>
      </w:r>
      <w:r>
        <w:rPr>
          <w:i/>
          <w:iCs/>
        </w:rPr>
        <w:t>JEX Paris</w:t>
      </w:r>
      <w:r>
        <w:t xml:space="preserve">, 15 avr. 2021, RG no 21/80275 : </w:t>
      </w:r>
      <w:r>
        <w:rPr>
          <w:i/>
          <w:iCs/>
        </w:rPr>
        <w:t xml:space="preserve">Revue pratique du recouvrement, </w:t>
      </w:r>
      <w:r>
        <w:t xml:space="preserve">juillet-aout 2021, Dalloz. </w:t>
      </w:r>
    </w:p>
    <w:p w14:paraId="147B92EE" w14:textId="54D6571E" w:rsidR="00AE5731" w:rsidRPr="00DA4438" w:rsidRDefault="00AE5731" w:rsidP="00DA4438">
      <w:r w:rsidRPr="00584A7F">
        <w:t>- « Sanction de l’absence de déclaration du tiers saisi dans la nouvelle saisie administrative à tiers détenteur</w:t>
      </w:r>
      <w:r w:rsidRPr="00DA4438">
        <w:t xml:space="preserve"> », obs. sous </w:t>
      </w:r>
      <w:r w:rsidRPr="00DA4438">
        <w:rPr>
          <w:i/>
          <w:iCs/>
          <w:sz w:val="22"/>
          <w:szCs w:val="22"/>
        </w:rPr>
        <w:t>JEX Paris, 8 avril 2021, RG no 21/80132</w:t>
      </w:r>
      <w:r w:rsidRPr="00DA4438">
        <w:t xml:space="preserve"> : </w:t>
      </w:r>
      <w:r w:rsidRPr="00DA4438">
        <w:rPr>
          <w:i/>
          <w:iCs/>
        </w:rPr>
        <w:t>Revue pratique du recouvrement</w:t>
      </w:r>
      <w:r w:rsidRPr="00DA4438">
        <w:t>, juin 2021, Dalloz.</w:t>
      </w:r>
    </w:p>
    <w:p w14:paraId="279648E6" w14:textId="3ACF3001" w:rsidR="005614D0" w:rsidRPr="00DA4438" w:rsidRDefault="001021D5" w:rsidP="00DA4438">
      <w:r w:rsidRPr="00DA4438">
        <w:t xml:space="preserve">- « L’existence de la créance saisie entre les mains d’un professionnel mandaté par le débiteur pour vendre un bien », obs. sous </w:t>
      </w:r>
      <w:r w:rsidRPr="00DA4438">
        <w:rPr>
          <w:i/>
          <w:iCs/>
        </w:rPr>
        <w:t>JEX Paris, 15 avr. 2021, n</w:t>
      </w:r>
      <w:r w:rsidRPr="00DA4438">
        <w:rPr>
          <w:i/>
          <w:iCs/>
          <w:vertAlign w:val="superscript"/>
        </w:rPr>
        <w:t>o</w:t>
      </w:r>
      <w:r w:rsidRPr="00DA4438">
        <w:rPr>
          <w:i/>
          <w:iCs/>
        </w:rPr>
        <w:t xml:space="preserve"> RG 21/80030 et JEX Paris, 15 avr. 2021, n</w:t>
      </w:r>
      <w:r w:rsidRPr="00DA4438">
        <w:rPr>
          <w:i/>
          <w:iCs/>
          <w:vertAlign w:val="superscript"/>
        </w:rPr>
        <w:t>o</w:t>
      </w:r>
      <w:r w:rsidRPr="00DA4438">
        <w:rPr>
          <w:i/>
          <w:iCs/>
        </w:rPr>
        <w:t xml:space="preserve"> RG 20/81750 : Revue pratique du recouvrement</w:t>
      </w:r>
      <w:r w:rsidRPr="00DA4438">
        <w:t>, juin 2021, Dalloz.</w:t>
      </w:r>
    </w:p>
    <w:p w14:paraId="4BC53A47" w14:textId="517FEBB1" w:rsidR="00711283" w:rsidRPr="00DA4438" w:rsidRDefault="00711283" w:rsidP="00DA4438">
      <w:r w:rsidRPr="00DA4438">
        <w:t xml:space="preserve">- « Mode d’emploi de l’article 14 de la loi du 14 novembre 2020 interdisant les poursuites pour des loyers commerciaux impayés », obs. sous </w:t>
      </w:r>
      <w:r w:rsidRPr="00DA4438">
        <w:rPr>
          <w:i/>
          <w:iCs/>
        </w:rPr>
        <w:t>JEX Paris, 11 mars 2021, RG no 20/81669 </w:t>
      </w:r>
      <w:r w:rsidRPr="00DA4438">
        <w:t xml:space="preserve">: </w:t>
      </w:r>
      <w:r w:rsidRPr="00DA4438">
        <w:rPr>
          <w:i/>
          <w:iCs/>
        </w:rPr>
        <w:t>Revue pratique du recouvrement</w:t>
      </w:r>
      <w:r w:rsidRPr="00DA4438">
        <w:t>, mai 2021, Dalloz.</w:t>
      </w:r>
    </w:p>
    <w:p w14:paraId="6F57C673" w14:textId="7AED0210" w:rsidR="00BB16DB" w:rsidRPr="00DA4438" w:rsidRDefault="00BB16DB" w:rsidP="00DA4438">
      <w:r w:rsidRPr="00DA4438">
        <w:t xml:space="preserve">- Bail commercial : saisie conservatoire sans autorisation préalable impossible pour le recouvrement de l’indemnité d’occupation statutaire, obs. sous </w:t>
      </w:r>
      <w:r w:rsidRPr="00DA4438">
        <w:rPr>
          <w:i/>
          <w:iCs/>
        </w:rPr>
        <w:t>JEX Paris, 11 mars 2021, RG n</w:t>
      </w:r>
      <w:r w:rsidRPr="00DA4438">
        <w:rPr>
          <w:i/>
          <w:iCs/>
          <w:vertAlign w:val="superscript"/>
        </w:rPr>
        <w:t>o</w:t>
      </w:r>
      <w:r w:rsidRPr="00DA4438">
        <w:rPr>
          <w:i/>
          <w:iCs/>
        </w:rPr>
        <w:t xml:space="preserve"> 20/81801 </w:t>
      </w:r>
      <w:r w:rsidRPr="00DA4438">
        <w:t xml:space="preserve">: </w:t>
      </w:r>
      <w:r w:rsidRPr="00DA4438">
        <w:rPr>
          <w:i/>
          <w:iCs/>
        </w:rPr>
        <w:t>Revue pratique du recouvrement</w:t>
      </w:r>
      <w:r w:rsidRPr="00DA4438">
        <w:t>, mai 2021, Dalloz.</w:t>
      </w:r>
    </w:p>
    <w:p w14:paraId="22E39CCC" w14:textId="6041CB23" w:rsidR="00334E18" w:rsidRPr="00DA4438" w:rsidRDefault="00334E18" w:rsidP="00DA4438">
      <w:r w:rsidRPr="00DA4438">
        <w:t xml:space="preserve">- « Le jugement d’adjudication sur licitation ne constitue pas un titre d’expulsion », </w:t>
      </w:r>
      <w:r w:rsidR="00BB16DB" w:rsidRPr="00DA4438">
        <w:t xml:space="preserve">obs. sous </w:t>
      </w:r>
      <w:r w:rsidRPr="00DA4438">
        <w:rPr>
          <w:i/>
          <w:iCs/>
        </w:rPr>
        <w:t>JEX Paris, 4 mars 2021, RG n° 20/81227</w:t>
      </w:r>
      <w:r w:rsidRPr="00DA4438">
        <w:t xml:space="preserve"> : </w:t>
      </w:r>
      <w:r w:rsidRPr="00DA4438">
        <w:rPr>
          <w:i/>
          <w:iCs/>
        </w:rPr>
        <w:t>Revue pratique du recouvrement</w:t>
      </w:r>
      <w:r w:rsidRPr="00DA4438">
        <w:t>, mai 2021, Dalloz.</w:t>
      </w:r>
    </w:p>
    <w:p w14:paraId="5BE60A2F" w14:textId="365655CD" w:rsidR="00B03506" w:rsidRPr="00DA4438" w:rsidRDefault="00B03506" w:rsidP="00DA4438">
      <w:r w:rsidRPr="00DA4438">
        <w:t xml:space="preserve">- « Délai de prescription de l’exécution de la contrainte émise par un directeur de CAF pour le recouvrement de prestations familiales », </w:t>
      </w:r>
      <w:r w:rsidR="00BB16DB" w:rsidRPr="00DA4438">
        <w:t xml:space="preserve">obs. sous </w:t>
      </w:r>
      <w:r w:rsidRPr="00DA4438">
        <w:rPr>
          <w:i/>
          <w:iCs/>
        </w:rPr>
        <w:t>JEX Paris, 17 mars 2021, RG n</w:t>
      </w:r>
      <w:r w:rsidRPr="00DA4438">
        <w:rPr>
          <w:i/>
          <w:iCs/>
          <w:vertAlign w:val="superscript"/>
        </w:rPr>
        <w:t>o</w:t>
      </w:r>
      <w:r w:rsidRPr="00DA4438">
        <w:rPr>
          <w:i/>
          <w:iCs/>
        </w:rPr>
        <w:t xml:space="preserve"> 2019A3049 </w:t>
      </w:r>
      <w:r w:rsidRPr="00DA4438">
        <w:t xml:space="preserve">: </w:t>
      </w:r>
      <w:r w:rsidRPr="00DA4438">
        <w:rPr>
          <w:i/>
          <w:iCs/>
        </w:rPr>
        <w:t>Revue pratique du recouvrement</w:t>
      </w:r>
      <w:r w:rsidRPr="00DA4438">
        <w:t>, avril 2021, Dalloz.</w:t>
      </w:r>
    </w:p>
    <w:p w14:paraId="7608C16A" w14:textId="12F54BBA" w:rsidR="00806DD7" w:rsidRPr="00DA4438" w:rsidRDefault="00806DD7" w:rsidP="00DA4438">
      <w:r w:rsidRPr="00DA4438">
        <w:t xml:space="preserve">- </w:t>
      </w:r>
      <w:r w:rsidR="00B03506" w:rsidRPr="00DA4438">
        <w:t xml:space="preserve">« L’étendue du contrôle du JEX sur un titre exécutoire émis par un huissier de justice en matière de chèques impayés », </w:t>
      </w:r>
      <w:r w:rsidR="00BB16DB" w:rsidRPr="00DA4438">
        <w:t xml:space="preserve">obs. sous </w:t>
      </w:r>
      <w:r w:rsidR="00B03506" w:rsidRPr="00DA4438">
        <w:rPr>
          <w:i/>
          <w:iCs/>
        </w:rPr>
        <w:t>JEX Paris, 15 mars 2021, RG n° 11-19-014111</w:t>
      </w:r>
      <w:r w:rsidR="00B03506" w:rsidRPr="00DA4438">
        <w:t xml:space="preserve"> : </w:t>
      </w:r>
      <w:r w:rsidR="00B03506" w:rsidRPr="00DA4438">
        <w:rPr>
          <w:i/>
          <w:iCs/>
        </w:rPr>
        <w:t>Revue pratique du recouvrement</w:t>
      </w:r>
      <w:r w:rsidR="00B03506" w:rsidRPr="00DA4438">
        <w:t>, avril 2021, Dalloz.</w:t>
      </w:r>
    </w:p>
    <w:p w14:paraId="684C7D48" w14:textId="74DEDDE5" w:rsidR="005614D0" w:rsidRPr="00DA4438" w:rsidRDefault="005614D0" w:rsidP="00DA4438">
      <w:r w:rsidRPr="00DA4438">
        <w:lastRenderedPageBreak/>
        <w:t xml:space="preserve">- </w:t>
      </w:r>
      <w:r w:rsidR="00FE7CF3" w:rsidRPr="00DA4438">
        <w:t xml:space="preserve">« Saisie conservatoire pour des loyers : un décompte indispensable », obs. sous </w:t>
      </w:r>
      <w:r w:rsidR="00FE7CF3" w:rsidRPr="00DA4438">
        <w:rPr>
          <w:i/>
          <w:iCs/>
        </w:rPr>
        <w:t>JEX Paris, 11 fév. 2021, RG n</w:t>
      </w:r>
      <w:r w:rsidR="00FE7CF3" w:rsidRPr="00DA4438">
        <w:rPr>
          <w:i/>
          <w:iCs/>
          <w:vertAlign w:val="superscript"/>
        </w:rPr>
        <w:t>o</w:t>
      </w:r>
      <w:r w:rsidR="00FE7CF3" w:rsidRPr="00DA4438">
        <w:rPr>
          <w:i/>
          <w:iCs/>
        </w:rPr>
        <w:t xml:space="preserve"> 21-80109</w:t>
      </w:r>
      <w:r w:rsidR="00FE7CF3" w:rsidRPr="00DA4438">
        <w:t xml:space="preserve"> : </w:t>
      </w:r>
      <w:r w:rsidR="00FE7CF3" w:rsidRPr="00DA4438">
        <w:rPr>
          <w:i/>
          <w:iCs/>
        </w:rPr>
        <w:t>Revue pratique du recouvrement</w:t>
      </w:r>
      <w:r w:rsidR="00FE7CF3" w:rsidRPr="00DA4438">
        <w:t xml:space="preserve">, avril 2021, Dalloz. </w:t>
      </w:r>
    </w:p>
    <w:p w14:paraId="4D83FB2F" w14:textId="37DB049B" w:rsidR="00A8083C" w:rsidRPr="00DA4438" w:rsidRDefault="00A8083C" w:rsidP="00DA4438">
      <w:r w:rsidRPr="00DA4438">
        <w:t xml:space="preserve">- </w:t>
      </w:r>
      <w:r w:rsidR="005614D0" w:rsidRPr="00DA4438">
        <w:t>« La signification d’un projet de décision ne répond pas aux exigences de l’article 503 du Code de procédure civile », obs. sous JEX Paris, 28 janv. 2021, RG n</w:t>
      </w:r>
      <w:r w:rsidR="005614D0" w:rsidRPr="00DA4438">
        <w:rPr>
          <w:vertAlign w:val="superscript"/>
        </w:rPr>
        <w:t>o</w:t>
      </w:r>
      <w:r w:rsidR="005614D0" w:rsidRPr="00DA4438">
        <w:t xml:space="preserve"> 20/81710 : </w:t>
      </w:r>
      <w:r w:rsidR="005614D0" w:rsidRPr="00DA4438">
        <w:rPr>
          <w:i/>
          <w:iCs/>
        </w:rPr>
        <w:t>Revue pratique du recouvrement</w:t>
      </w:r>
      <w:r w:rsidR="005614D0" w:rsidRPr="00DA4438">
        <w:t xml:space="preserve">, mars 2021, Dalloz. </w:t>
      </w:r>
    </w:p>
    <w:p w14:paraId="4826A0EA" w14:textId="348DCBB0" w:rsidR="00A8083C" w:rsidRPr="00DA4438" w:rsidRDefault="00A8083C" w:rsidP="00DA4438">
      <w:r w:rsidRPr="00DA4438">
        <w:t xml:space="preserve">- « Recevabilité de la demande d’annulation du procès-verbal d’expulsion en cas de saisine du JEX par voie de requête », obs. sous </w:t>
      </w:r>
      <w:r w:rsidRPr="00DA4438">
        <w:rPr>
          <w:i/>
          <w:iCs/>
        </w:rPr>
        <w:t>JEX Paris</w:t>
      </w:r>
      <w:r w:rsidRPr="00DA4438">
        <w:t>, 14 janv. 2021, RG n</w:t>
      </w:r>
      <w:r w:rsidRPr="00DA4438">
        <w:rPr>
          <w:vertAlign w:val="superscript"/>
        </w:rPr>
        <w:t>o</w:t>
      </w:r>
      <w:r w:rsidRPr="00DA4438">
        <w:t xml:space="preserve"> 20/81225 : </w:t>
      </w:r>
      <w:r w:rsidRPr="00DA4438">
        <w:rPr>
          <w:i/>
          <w:iCs/>
        </w:rPr>
        <w:t>Revue pratique du recouvrement</w:t>
      </w:r>
      <w:r w:rsidRPr="00DA4438">
        <w:t>, mars 2021</w:t>
      </w:r>
      <w:r w:rsidR="00C94597" w:rsidRPr="00DA4438">
        <w:t xml:space="preserve">, Dalloz. </w:t>
      </w:r>
    </w:p>
    <w:p w14:paraId="40CD4CB6" w14:textId="639DF52D" w:rsidR="00A8083C" w:rsidRPr="00DA4438" w:rsidRDefault="009018DC" w:rsidP="00DA4438">
      <w:r w:rsidRPr="00DA4438">
        <w:t>-</w:t>
      </w:r>
      <w:r w:rsidR="00A8083C" w:rsidRPr="00DA4438">
        <w:t xml:space="preserve"> « Conditions du rétablissement du droit de pratiquer des mesures d’exécution en présence d’un plan de surendettement », obs. sous </w:t>
      </w:r>
      <w:r w:rsidR="00A8083C" w:rsidRPr="00DA4438">
        <w:rPr>
          <w:i/>
          <w:iCs/>
        </w:rPr>
        <w:t>JEX Paris</w:t>
      </w:r>
      <w:r w:rsidR="00A8083C" w:rsidRPr="00DA4438">
        <w:t>, 18 fév. 2021, RG n</w:t>
      </w:r>
      <w:r w:rsidR="00A8083C" w:rsidRPr="00DA4438">
        <w:rPr>
          <w:vertAlign w:val="superscript"/>
        </w:rPr>
        <w:t>o</w:t>
      </w:r>
      <w:r w:rsidR="00A8083C" w:rsidRPr="00DA4438">
        <w:t xml:space="preserve"> 20-8785 : </w:t>
      </w:r>
      <w:r w:rsidR="00A8083C" w:rsidRPr="00DA4438">
        <w:rPr>
          <w:i/>
          <w:iCs/>
        </w:rPr>
        <w:t>Revue pratique du recouvrement</w:t>
      </w:r>
      <w:r w:rsidR="00A8083C" w:rsidRPr="00DA4438">
        <w:t>, mars 2021</w:t>
      </w:r>
      <w:r w:rsidR="00C94597" w:rsidRPr="00DA4438">
        <w:t xml:space="preserve">, Dalloz. </w:t>
      </w:r>
    </w:p>
    <w:p w14:paraId="52F7F468" w14:textId="28E6F13C" w:rsidR="00017F1A" w:rsidRPr="00DA4438" w:rsidRDefault="00017F1A" w:rsidP="00DA4438">
      <w:r w:rsidRPr="00DA4438">
        <w:t>- « Vente forcée en cas de frais de poursuite impayés »,</w:t>
      </w:r>
      <w:r w:rsidR="00A8083C" w:rsidRPr="00DA4438">
        <w:t xml:space="preserve"> obs. sous</w:t>
      </w:r>
      <w:r w:rsidRPr="00DA4438">
        <w:t xml:space="preserve"> </w:t>
      </w:r>
      <w:r w:rsidRPr="00DA4438">
        <w:rPr>
          <w:i/>
          <w:iCs/>
          <w:color w:val="000000"/>
        </w:rPr>
        <w:t>JEX Paris, 22 oct. 2020,</w:t>
      </w:r>
      <w:r w:rsidR="00A8083C" w:rsidRPr="00DA4438">
        <w:rPr>
          <w:i/>
          <w:iCs/>
          <w:color w:val="000000"/>
        </w:rPr>
        <w:t xml:space="preserve"> RG</w:t>
      </w:r>
      <w:r w:rsidRPr="00DA4438">
        <w:rPr>
          <w:i/>
          <w:iCs/>
          <w:color w:val="000000"/>
        </w:rPr>
        <w:t xml:space="preserve"> n</w:t>
      </w:r>
      <w:r w:rsidRPr="00DA4438">
        <w:rPr>
          <w:i/>
          <w:iCs/>
          <w:color w:val="000000"/>
          <w:vertAlign w:val="superscript"/>
        </w:rPr>
        <w:t>o</w:t>
      </w:r>
      <w:r w:rsidRPr="00DA4438">
        <w:rPr>
          <w:i/>
          <w:iCs/>
          <w:color w:val="000000"/>
        </w:rPr>
        <w:t xml:space="preserve"> 19/00029 </w:t>
      </w:r>
      <w:r w:rsidRPr="00DA4438">
        <w:rPr>
          <w:color w:val="000000"/>
        </w:rPr>
        <w:t xml:space="preserve">: </w:t>
      </w:r>
      <w:r w:rsidRPr="00DA4438">
        <w:rPr>
          <w:i/>
          <w:iCs/>
          <w:color w:val="000000"/>
        </w:rPr>
        <w:t>Revue pratique du recouvrement</w:t>
      </w:r>
      <w:r w:rsidRPr="00DA4438">
        <w:rPr>
          <w:color w:val="000000"/>
        </w:rPr>
        <w:t>, fév. 2021</w:t>
      </w:r>
      <w:r w:rsidR="00C94597" w:rsidRPr="00DA4438">
        <w:rPr>
          <w:color w:val="000000"/>
        </w:rPr>
        <w:t xml:space="preserve">, Dalloz. </w:t>
      </w:r>
    </w:p>
    <w:p w14:paraId="3AC729B8" w14:textId="59E1CA57" w:rsidR="00017F1A" w:rsidRPr="00DA4438" w:rsidRDefault="00017F1A" w:rsidP="00DA4438">
      <w:r w:rsidRPr="00DA4438">
        <w:t xml:space="preserve">- « Étendue du contrôle des actes notariés par le JEX », obs. sous </w:t>
      </w:r>
      <w:r w:rsidRPr="00DA4438">
        <w:rPr>
          <w:i/>
          <w:iCs/>
          <w:color w:val="000000"/>
        </w:rPr>
        <w:t>JEX Paris, 26 nov. 2020, RG</w:t>
      </w:r>
      <w:r w:rsidR="00A8083C" w:rsidRPr="00DA4438">
        <w:rPr>
          <w:i/>
          <w:iCs/>
          <w:color w:val="000000"/>
        </w:rPr>
        <w:t xml:space="preserve"> n</w:t>
      </w:r>
      <w:r w:rsidR="00A8083C" w:rsidRPr="00DA4438">
        <w:rPr>
          <w:i/>
          <w:iCs/>
          <w:color w:val="000000"/>
          <w:vertAlign w:val="superscript"/>
        </w:rPr>
        <w:t>o</w:t>
      </w:r>
      <w:r w:rsidRPr="00DA4438">
        <w:rPr>
          <w:i/>
          <w:iCs/>
          <w:color w:val="000000"/>
        </w:rPr>
        <w:t xml:space="preserve"> 20/80941 </w:t>
      </w:r>
      <w:r w:rsidRPr="00DA4438">
        <w:rPr>
          <w:color w:val="000000"/>
        </w:rPr>
        <w:t xml:space="preserve">: </w:t>
      </w:r>
      <w:r w:rsidRPr="00DA4438">
        <w:rPr>
          <w:i/>
          <w:iCs/>
          <w:color w:val="000000"/>
        </w:rPr>
        <w:t>Revue pratique du recouvrement</w:t>
      </w:r>
      <w:r w:rsidRPr="00DA4438">
        <w:rPr>
          <w:color w:val="000000"/>
        </w:rPr>
        <w:t>, fév. 2021</w:t>
      </w:r>
      <w:r w:rsidR="00C94597" w:rsidRPr="00DA4438">
        <w:rPr>
          <w:color w:val="000000"/>
        </w:rPr>
        <w:t xml:space="preserve">, Dalloz. </w:t>
      </w:r>
    </w:p>
    <w:p w14:paraId="0F49BBA3" w14:textId="12B8906B" w:rsidR="002A33A3" w:rsidRPr="00DA4438" w:rsidRDefault="002A33A3" w:rsidP="00DA4438">
      <w:r w:rsidRPr="00DA4438">
        <w:t xml:space="preserve">- « Pas d’exécution provisoire sur l’article 475-1 du Code de procédure pénale », obs. sous </w:t>
      </w:r>
      <w:r w:rsidRPr="00DA4438">
        <w:rPr>
          <w:i/>
          <w:iCs/>
          <w:color w:val="000000"/>
        </w:rPr>
        <w:t>JEX Paris, 3 déc. 2020, n</w:t>
      </w:r>
      <w:r w:rsidRPr="00DA4438">
        <w:rPr>
          <w:i/>
          <w:iCs/>
          <w:color w:val="000000"/>
          <w:vertAlign w:val="superscript"/>
        </w:rPr>
        <w:t>o</w:t>
      </w:r>
      <w:r w:rsidRPr="00DA4438">
        <w:rPr>
          <w:i/>
          <w:iCs/>
          <w:color w:val="000000"/>
        </w:rPr>
        <w:t xml:space="preserve"> RG 20/81288 </w:t>
      </w:r>
      <w:r w:rsidRPr="00DA4438">
        <w:rPr>
          <w:color w:val="000000"/>
        </w:rPr>
        <w:t xml:space="preserve">: </w:t>
      </w:r>
      <w:r w:rsidRPr="00DA4438">
        <w:rPr>
          <w:i/>
          <w:iCs/>
          <w:color w:val="000000"/>
        </w:rPr>
        <w:t>Revue pratique du recouvrement</w:t>
      </w:r>
      <w:r w:rsidRPr="00DA4438">
        <w:rPr>
          <w:color w:val="000000"/>
        </w:rPr>
        <w:t>, fév. 2021</w:t>
      </w:r>
      <w:r w:rsidR="00C94597" w:rsidRPr="00DA4438">
        <w:rPr>
          <w:color w:val="000000"/>
        </w:rPr>
        <w:t xml:space="preserve">, Dalloz. </w:t>
      </w:r>
    </w:p>
    <w:p w14:paraId="3BF95D0E" w14:textId="0BF876E5" w:rsidR="00364BDA" w:rsidRPr="00DA4438" w:rsidRDefault="001F0BB7" w:rsidP="00DA4438">
      <w:r w:rsidRPr="00DA4438">
        <w:t xml:space="preserve">- </w:t>
      </w:r>
      <w:r w:rsidR="00364BDA" w:rsidRPr="00DA4438">
        <w:t xml:space="preserve">« Irrégularité de la signification à un État souveraine étranger : une nullité sans grief », obs. sous </w:t>
      </w:r>
      <w:r w:rsidR="00364BDA" w:rsidRPr="00DA4438">
        <w:rPr>
          <w:i/>
          <w:iCs/>
          <w:color w:val="000000"/>
        </w:rPr>
        <w:t>JEX, 10 sept. 2020, RG n</w:t>
      </w:r>
      <w:r w:rsidR="00364BDA" w:rsidRPr="00DA4438">
        <w:rPr>
          <w:i/>
          <w:iCs/>
          <w:color w:val="000000"/>
          <w:vertAlign w:val="superscript"/>
        </w:rPr>
        <w:t>o</w:t>
      </w:r>
      <w:r w:rsidR="00364BDA" w:rsidRPr="00DA4438">
        <w:rPr>
          <w:i/>
          <w:iCs/>
          <w:color w:val="000000"/>
        </w:rPr>
        <w:t xml:space="preserve"> 20/80537 </w:t>
      </w:r>
      <w:r w:rsidR="00364BDA" w:rsidRPr="00DA4438">
        <w:rPr>
          <w:color w:val="000000"/>
        </w:rPr>
        <w:t xml:space="preserve">: </w:t>
      </w:r>
      <w:r w:rsidR="00364BDA" w:rsidRPr="00DA4438">
        <w:rPr>
          <w:i/>
          <w:iCs/>
          <w:color w:val="000000"/>
        </w:rPr>
        <w:t>Revue pratique du recouvrement</w:t>
      </w:r>
      <w:r w:rsidR="00364BDA" w:rsidRPr="00DA4438">
        <w:rPr>
          <w:color w:val="000000"/>
        </w:rPr>
        <w:t>, janv. 2021</w:t>
      </w:r>
      <w:r w:rsidR="00C94597" w:rsidRPr="00DA4438">
        <w:rPr>
          <w:color w:val="000000"/>
        </w:rPr>
        <w:t xml:space="preserve">, Dalloz. </w:t>
      </w:r>
    </w:p>
    <w:p w14:paraId="271B4688" w14:textId="431CFCF6" w:rsidR="001F0BB7" w:rsidRPr="00DA4438" w:rsidRDefault="001F0BB7" w:rsidP="00DA4438">
      <w:r w:rsidRPr="00DA4438">
        <w:t xml:space="preserve">- « Prescription de l’acte en liquidation de l’astreinte et point de départ du délai de prescription », obs. sous </w:t>
      </w:r>
      <w:r w:rsidRPr="00DA4438">
        <w:rPr>
          <w:i/>
          <w:iCs/>
        </w:rPr>
        <w:t>JEX</w:t>
      </w:r>
      <w:r w:rsidR="002A324D">
        <w:rPr>
          <w:i/>
          <w:iCs/>
        </w:rPr>
        <w:t xml:space="preserve"> Paris</w:t>
      </w:r>
      <w:r w:rsidRPr="00DA4438">
        <w:rPr>
          <w:i/>
          <w:iCs/>
        </w:rPr>
        <w:t xml:space="preserve"> </w:t>
      </w:r>
      <w:r w:rsidRPr="00DA4438">
        <w:rPr>
          <w:i/>
          <w:iCs/>
          <w:color w:val="000000"/>
        </w:rPr>
        <w:t>1er oct. 2020, RG n</w:t>
      </w:r>
      <w:r w:rsidRPr="00DA4438">
        <w:rPr>
          <w:i/>
          <w:iCs/>
          <w:color w:val="000000"/>
          <w:vertAlign w:val="superscript"/>
        </w:rPr>
        <w:t>o</w:t>
      </w:r>
      <w:r w:rsidRPr="00DA4438">
        <w:rPr>
          <w:i/>
          <w:iCs/>
          <w:color w:val="000000"/>
        </w:rPr>
        <w:t xml:space="preserve"> 20/80449</w:t>
      </w:r>
      <w:r w:rsidRPr="00DA4438">
        <w:rPr>
          <w:color w:val="000000"/>
        </w:rPr>
        <w:t xml:space="preserve"> : </w:t>
      </w:r>
      <w:r w:rsidRPr="00DA4438">
        <w:rPr>
          <w:i/>
          <w:iCs/>
          <w:color w:val="000000"/>
        </w:rPr>
        <w:t>Revue pratique du recouvrement</w:t>
      </w:r>
      <w:r w:rsidRPr="00DA4438">
        <w:rPr>
          <w:color w:val="000000"/>
        </w:rPr>
        <w:t>, janv. 2021</w:t>
      </w:r>
      <w:r w:rsidR="00C94597" w:rsidRPr="00DA4438">
        <w:rPr>
          <w:color w:val="000000"/>
        </w:rPr>
        <w:t xml:space="preserve">, Dalloz. </w:t>
      </w:r>
    </w:p>
    <w:p w14:paraId="1B7C1450" w14:textId="28B677D8" w:rsidR="0093098C" w:rsidRPr="00DA4438" w:rsidRDefault="0093098C" w:rsidP="00DA4438">
      <w:pPr>
        <w:pStyle w:val="NormalWeb"/>
        <w:spacing w:before="0" w:beforeAutospacing="0" w:after="0" w:afterAutospacing="0"/>
        <w:rPr>
          <w:color w:val="000000"/>
          <w:sz w:val="24"/>
        </w:rPr>
      </w:pPr>
      <w:r w:rsidRPr="00DA4438">
        <w:rPr>
          <w:sz w:val="24"/>
        </w:rPr>
        <w:t xml:space="preserve">- « Heurs et malheurs de la représentation devant le JEX », obs. sous </w:t>
      </w:r>
      <w:r w:rsidRPr="00DA4438">
        <w:rPr>
          <w:i/>
          <w:iCs/>
          <w:color w:val="000000"/>
          <w:sz w:val="24"/>
        </w:rPr>
        <w:t>JEX Paris, 3 nov. 2020, RG n</w:t>
      </w:r>
      <w:r w:rsidRPr="00DA4438">
        <w:rPr>
          <w:i/>
          <w:iCs/>
          <w:color w:val="000000"/>
          <w:sz w:val="24"/>
          <w:vertAlign w:val="superscript"/>
        </w:rPr>
        <w:t>o</w:t>
      </w:r>
      <w:r w:rsidRPr="00DA4438">
        <w:rPr>
          <w:i/>
          <w:iCs/>
          <w:color w:val="000000"/>
          <w:sz w:val="24"/>
        </w:rPr>
        <w:t xml:space="preserve"> 20/81005 </w:t>
      </w:r>
      <w:r w:rsidRPr="00DA4438">
        <w:rPr>
          <w:color w:val="000000"/>
          <w:sz w:val="24"/>
        </w:rPr>
        <w:t xml:space="preserve">et </w:t>
      </w:r>
      <w:r w:rsidRPr="00DA4438">
        <w:rPr>
          <w:i/>
          <w:iCs/>
          <w:color w:val="000000"/>
          <w:sz w:val="24"/>
        </w:rPr>
        <w:t>JEX</w:t>
      </w:r>
      <w:r w:rsidRPr="00DA4438">
        <w:rPr>
          <w:color w:val="000000"/>
          <w:sz w:val="24"/>
        </w:rPr>
        <w:t xml:space="preserve">, </w:t>
      </w:r>
      <w:r w:rsidRPr="00DA4438">
        <w:rPr>
          <w:i/>
          <w:iCs/>
          <w:color w:val="000000"/>
          <w:sz w:val="24"/>
        </w:rPr>
        <w:t>23 nov. 2020, RG n</w:t>
      </w:r>
      <w:r w:rsidRPr="00DA4438">
        <w:rPr>
          <w:i/>
          <w:iCs/>
          <w:color w:val="000000"/>
          <w:sz w:val="24"/>
          <w:vertAlign w:val="superscript"/>
        </w:rPr>
        <w:t>o</w:t>
      </w:r>
      <w:r w:rsidRPr="00DA4438">
        <w:rPr>
          <w:i/>
          <w:iCs/>
          <w:color w:val="000000"/>
          <w:sz w:val="24"/>
        </w:rPr>
        <w:t xml:space="preserve"> 20/81216</w:t>
      </w:r>
      <w:r w:rsidR="00C20D08" w:rsidRPr="00DA4438">
        <w:rPr>
          <w:color w:val="000000"/>
          <w:sz w:val="24"/>
        </w:rPr>
        <w:t xml:space="preserve"> : </w:t>
      </w:r>
      <w:r w:rsidR="00C20D08" w:rsidRPr="00DA4438">
        <w:rPr>
          <w:i/>
          <w:iCs/>
          <w:color w:val="000000"/>
          <w:sz w:val="24"/>
        </w:rPr>
        <w:t>Revue pratique du recouvrement</w:t>
      </w:r>
      <w:r w:rsidR="00C20D08" w:rsidRPr="00DA4438">
        <w:rPr>
          <w:color w:val="000000"/>
          <w:sz w:val="24"/>
        </w:rPr>
        <w:t>, janv. 2021</w:t>
      </w:r>
      <w:r w:rsidR="00C94597" w:rsidRPr="00DA4438">
        <w:rPr>
          <w:color w:val="000000"/>
          <w:sz w:val="24"/>
        </w:rPr>
        <w:t xml:space="preserve">, Dalloz. </w:t>
      </w:r>
    </w:p>
    <w:p w14:paraId="7C59A333" w14:textId="7A9A60BB" w:rsidR="00D9758E" w:rsidRPr="00DA4438" w:rsidRDefault="00D9758E" w:rsidP="00DA4438">
      <w:r w:rsidRPr="00DA4438">
        <w:t xml:space="preserve">- « Liquidation d’une astreinte en temps de Covid », obs. sous </w:t>
      </w:r>
      <w:r w:rsidRPr="00DA4438">
        <w:rPr>
          <w:i/>
          <w:iCs/>
          <w:color w:val="000000"/>
        </w:rPr>
        <w:t>JEX Paris, 22 oct. 2020, RG n</w:t>
      </w:r>
      <w:r w:rsidRPr="00DA4438">
        <w:rPr>
          <w:i/>
          <w:iCs/>
          <w:color w:val="000000"/>
          <w:vertAlign w:val="superscript"/>
        </w:rPr>
        <w:t xml:space="preserve">o </w:t>
      </w:r>
      <w:r w:rsidRPr="00DA4438">
        <w:rPr>
          <w:i/>
          <w:iCs/>
          <w:color w:val="000000"/>
        </w:rPr>
        <w:t>20/80824</w:t>
      </w:r>
      <w:r w:rsidR="0093098C" w:rsidRPr="00DA4438">
        <w:rPr>
          <w:color w:val="000000"/>
        </w:rPr>
        <w:t xml:space="preserve"> : </w:t>
      </w:r>
      <w:r w:rsidR="0093098C" w:rsidRPr="00DA4438">
        <w:rPr>
          <w:i/>
          <w:iCs/>
          <w:color w:val="000000"/>
        </w:rPr>
        <w:t>Revue pratique du recouvrement</w:t>
      </w:r>
      <w:r w:rsidR="0093098C" w:rsidRPr="00DA4438">
        <w:rPr>
          <w:color w:val="000000"/>
        </w:rPr>
        <w:t>, janv. 2021</w:t>
      </w:r>
      <w:r w:rsidR="00C94597" w:rsidRPr="00DA4438">
        <w:rPr>
          <w:color w:val="000000"/>
        </w:rPr>
        <w:t xml:space="preserve">, Dalloz. </w:t>
      </w:r>
    </w:p>
    <w:p w14:paraId="54108ABD" w14:textId="5F6612AA" w:rsidR="00715264" w:rsidRPr="00DA4438" w:rsidRDefault="00D62CB0" w:rsidP="00DA4438">
      <w:r w:rsidRPr="00DA4438">
        <w:t xml:space="preserve">- </w:t>
      </w:r>
      <w:r w:rsidR="00715264" w:rsidRPr="00DA4438">
        <w:t xml:space="preserve">« Ce qui est contradictoire ne peut faire l’objet d’un recours en rétractation : exemple d’un appel restauré », </w:t>
      </w:r>
      <w:r w:rsidR="00FF0F19" w:rsidRPr="00DA4438">
        <w:t xml:space="preserve">obs. sous </w:t>
      </w:r>
      <w:proofErr w:type="spellStart"/>
      <w:r w:rsidR="00715264" w:rsidRPr="00DA4438">
        <w:t>Civ</w:t>
      </w:r>
      <w:proofErr w:type="spellEnd"/>
      <w:r w:rsidR="00715264" w:rsidRPr="00DA4438">
        <w:t>. 2</w:t>
      </w:r>
      <w:r w:rsidR="00715264" w:rsidRPr="00DA4438">
        <w:rPr>
          <w:vertAlign w:val="superscript"/>
        </w:rPr>
        <w:t>e</w:t>
      </w:r>
      <w:r w:rsidR="00715264" w:rsidRPr="00DA4438">
        <w:t>, 10 déc. 2020, n</w:t>
      </w:r>
      <w:r w:rsidR="00715264" w:rsidRPr="00DA4438">
        <w:rPr>
          <w:vertAlign w:val="superscript"/>
        </w:rPr>
        <w:t>o</w:t>
      </w:r>
      <w:r w:rsidR="00715264" w:rsidRPr="00DA4438">
        <w:t xml:space="preserve"> 19-20.051 : </w:t>
      </w:r>
      <w:r w:rsidR="00715264" w:rsidRPr="00DA4438">
        <w:rPr>
          <w:i/>
          <w:iCs/>
        </w:rPr>
        <w:t>Dalloz actualité</w:t>
      </w:r>
      <w:r w:rsidR="00715264" w:rsidRPr="00DA4438">
        <w:t>, 22 janv. 2021</w:t>
      </w:r>
      <w:r w:rsidR="00C94597" w:rsidRPr="00DA4438">
        <w:t xml:space="preserve">, Dalloz. </w:t>
      </w:r>
    </w:p>
    <w:p w14:paraId="12AF27E7" w14:textId="65BCEDCF" w:rsidR="004E22CF" w:rsidRPr="00DA4438" w:rsidRDefault="004E22CF" w:rsidP="00DA4438">
      <w:r w:rsidRPr="00DA4438">
        <w:t xml:space="preserve">- « Pas de TVA sur les condamnations en HT ! », obs. sous </w:t>
      </w:r>
      <w:r w:rsidRPr="00DA4438">
        <w:rPr>
          <w:i/>
          <w:iCs/>
          <w:color w:val="000000"/>
        </w:rPr>
        <w:t>JEX Paris, 15 juill. 2020, RG n</w:t>
      </w:r>
      <w:r w:rsidRPr="00DA4438">
        <w:rPr>
          <w:i/>
          <w:iCs/>
          <w:color w:val="000000"/>
          <w:vertAlign w:val="superscript"/>
        </w:rPr>
        <w:t>o</w:t>
      </w:r>
      <w:r w:rsidRPr="00DA4438">
        <w:rPr>
          <w:i/>
          <w:iCs/>
          <w:color w:val="000000"/>
        </w:rPr>
        <w:t xml:space="preserve"> 20-80367</w:t>
      </w:r>
      <w:r w:rsidRPr="00DA4438">
        <w:rPr>
          <w:color w:val="000000"/>
        </w:rPr>
        <w:t xml:space="preserve"> : </w:t>
      </w:r>
      <w:r w:rsidRPr="00DA4438">
        <w:rPr>
          <w:i/>
          <w:iCs/>
          <w:color w:val="000000"/>
        </w:rPr>
        <w:t>Revue pratique du recouvrement</w:t>
      </w:r>
      <w:r w:rsidRPr="00DA4438">
        <w:rPr>
          <w:color w:val="000000"/>
        </w:rPr>
        <w:t>, déc. 2020</w:t>
      </w:r>
      <w:r w:rsidR="00C94597" w:rsidRPr="00DA4438">
        <w:t xml:space="preserve">, Dalloz. </w:t>
      </w:r>
    </w:p>
    <w:p w14:paraId="45CA53F6" w14:textId="5AE80D2A" w:rsidR="005E0C3A" w:rsidRPr="00DA4438" w:rsidRDefault="005E0C3A" w:rsidP="00DA4438">
      <w:pPr>
        <w:pStyle w:val="NormalWeb"/>
        <w:spacing w:before="0" w:beforeAutospacing="0" w:after="0" w:afterAutospacing="0"/>
        <w:rPr>
          <w:color w:val="000000"/>
          <w:sz w:val="24"/>
        </w:rPr>
      </w:pPr>
      <w:r w:rsidRPr="00DA4438">
        <w:rPr>
          <w:sz w:val="24"/>
        </w:rPr>
        <w:t>- « </w:t>
      </w:r>
      <w:r w:rsidRPr="00DA4438">
        <w:rPr>
          <w:color w:val="000000"/>
          <w:sz w:val="24"/>
        </w:rPr>
        <w:t>Bail commercial : mainlevée de la mesure conservatoire pratiquée sans autorisation du JEX en temps de Covid-19 », obs. sous JEX Paris, 9 juill. 2020, n</w:t>
      </w:r>
      <w:r w:rsidRPr="00DA4438">
        <w:rPr>
          <w:color w:val="000000"/>
          <w:sz w:val="24"/>
          <w:vertAlign w:val="superscript"/>
        </w:rPr>
        <w:t>o</w:t>
      </w:r>
      <w:r w:rsidRPr="00DA4438">
        <w:rPr>
          <w:color w:val="000000"/>
          <w:sz w:val="24"/>
        </w:rPr>
        <w:t xml:space="preserve"> RG 20/80712 : </w:t>
      </w:r>
      <w:r w:rsidRPr="00DA4438">
        <w:rPr>
          <w:i/>
          <w:iCs/>
          <w:color w:val="000000"/>
          <w:sz w:val="24"/>
        </w:rPr>
        <w:t>Revue pratique du recouvrement</w:t>
      </w:r>
      <w:r w:rsidRPr="00DA4438">
        <w:rPr>
          <w:color w:val="000000"/>
          <w:sz w:val="24"/>
        </w:rPr>
        <w:t>, déc. 2020</w:t>
      </w:r>
      <w:r w:rsidR="00C94597" w:rsidRPr="00DA4438">
        <w:rPr>
          <w:color w:val="000000"/>
          <w:sz w:val="24"/>
        </w:rPr>
        <w:t xml:space="preserve">, Dalloz. </w:t>
      </w:r>
    </w:p>
    <w:p w14:paraId="1C3D62E6" w14:textId="2CA49E63" w:rsidR="00715264" w:rsidRPr="00DA4438" w:rsidRDefault="00D62CB0" w:rsidP="00DA4438">
      <w:r w:rsidRPr="00DA4438">
        <w:t xml:space="preserve">- </w:t>
      </w:r>
      <w:r w:rsidR="00715264" w:rsidRPr="00DA4438">
        <w:t xml:space="preserve">« Sanction de l’absence de motivation de l’appel formé contre un jugement statuant exclusivement sur la compétence : un brevet de conventionnalité prévisible », obs. sous </w:t>
      </w:r>
      <w:proofErr w:type="spellStart"/>
      <w:r w:rsidR="00715264" w:rsidRPr="00DA4438">
        <w:t>Civ</w:t>
      </w:r>
      <w:proofErr w:type="spellEnd"/>
      <w:r w:rsidR="00715264" w:rsidRPr="00DA4438">
        <w:t>. 2</w:t>
      </w:r>
      <w:r w:rsidR="00715264" w:rsidRPr="00DA4438">
        <w:rPr>
          <w:vertAlign w:val="superscript"/>
        </w:rPr>
        <w:t>e</w:t>
      </w:r>
      <w:r w:rsidR="00715264" w:rsidRPr="00DA4438">
        <w:t xml:space="preserve">, 10 déc. 2020, no 19-12. 257 : </w:t>
      </w:r>
      <w:r w:rsidR="00715264" w:rsidRPr="00DA4438">
        <w:rPr>
          <w:i/>
          <w:iCs/>
        </w:rPr>
        <w:t>Dalloz actualité</w:t>
      </w:r>
      <w:r w:rsidR="00715264" w:rsidRPr="00DA4438">
        <w:t>, 20 janv. 2021</w:t>
      </w:r>
    </w:p>
    <w:p w14:paraId="2C19D2FE" w14:textId="292299AE" w:rsidR="003D78F8" w:rsidRPr="00DA4438" w:rsidRDefault="00D62CB0" w:rsidP="00DA4438">
      <w:r w:rsidRPr="00DA4438">
        <w:t xml:space="preserve">- </w:t>
      </w:r>
      <w:r w:rsidR="003D78F8" w:rsidRPr="00DA4438">
        <w:t xml:space="preserve">« Radiation pour défaut d’exécution : appréciation du caractère significatif de l’exécution », obs. sous </w:t>
      </w:r>
      <w:proofErr w:type="spellStart"/>
      <w:r w:rsidR="003D78F8" w:rsidRPr="00DA4438">
        <w:t>Civ</w:t>
      </w:r>
      <w:proofErr w:type="spellEnd"/>
      <w:r w:rsidR="003D78F8" w:rsidRPr="00DA4438">
        <w:t>. 2</w:t>
      </w:r>
      <w:r w:rsidR="003D78F8" w:rsidRPr="00DA4438">
        <w:rPr>
          <w:vertAlign w:val="superscript"/>
        </w:rPr>
        <w:t>e</w:t>
      </w:r>
      <w:r w:rsidR="003D78F8" w:rsidRPr="00DA4438">
        <w:t>, 19 nov. 2020, n</w:t>
      </w:r>
      <w:r w:rsidR="003D78F8" w:rsidRPr="00DA4438">
        <w:rPr>
          <w:vertAlign w:val="superscript"/>
        </w:rPr>
        <w:t>o</w:t>
      </w:r>
      <w:r w:rsidR="003D78F8" w:rsidRPr="00DA4438">
        <w:t xml:space="preserve"> 19-25100 : </w:t>
      </w:r>
      <w:r w:rsidR="003D78F8" w:rsidRPr="00DA4438">
        <w:rPr>
          <w:i/>
          <w:iCs/>
        </w:rPr>
        <w:t>Dalloz actualité</w:t>
      </w:r>
      <w:r w:rsidR="003D78F8" w:rsidRPr="00DA4438">
        <w:t xml:space="preserve">, 7 janv. 2021.  </w:t>
      </w:r>
    </w:p>
    <w:p w14:paraId="4F385B0D" w14:textId="39752CF4" w:rsidR="00C60FF1" w:rsidRPr="00DA4438" w:rsidRDefault="00D62CB0" w:rsidP="00DA4438">
      <w:r w:rsidRPr="00DA4438">
        <w:t xml:space="preserve">- </w:t>
      </w:r>
      <w:r w:rsidR="00C60FF1" w:rsidRPr="00DA4438">
        <w:t>« </w:t>
      </w:r>
      <w:r w:rsidR="003D78F8" w:rsidRPr="00DA4438">
        <w:t xml:space="preserve">Intérêt à agir et intérêt à intervenir accessoirement : nuance subtile, mais nuance malgré tout », </w:t>
      </w:r>
      <w:r w:rsidR="00C60FF1" w:rsidRPr="00DA4438">
        <w:t xml:space="preserve">obs. sous </w:t>
      </w:r>
      <w:r w:rsidR="003D78F8" w:rsidRPr="00DA4438">
        <w:t>Com.</w:t>
      </w:r>
      <w:r w:rsidR="00C60FF1" w:rsidRPr="00DA4438">
        <w:t xml:space="preserve">, </w:t>
      </w:r>
      <w:r w:rsidR="003D78F8" w:rsidRPr="00DA4438">
        <w:t>14 oct.</w:t>
      </w:r>
      <w:r w:rsidR="00C60FF1" w:rsidRPr="00DA4438">
        <w:t xml:space="preserve"> 2020, n</w:t>
      </w:r>
      <w:r w:rsidR="00C60FF1" w:rsidRPr="00DA4438">
        <w:rPr>
          <w:vertAlign w:val="superscript"/>
        </w:rPr>
        <w:t>o</w:t>
      </w:r>
      <w:r w:rsidR="003D78F8" w:rsidRPr="00DA4438">
        <w:t xml:space="preserve"> 18-15840</w:t>
      </w:r>
      <w:r w:rsidR="00C60FF1" w:rsidRPr="00DA4438">
        <w:t xml:space="preserve"> : </w:t>
      </w:r>
      <w:r w:rsidR="00C60FF1" w:rsidRPr="00DA4438">
        <w:rPr>
          <w:i/>
          <w:iCs/>
        </w:rPr>
        <w:t>Dalloz actualité</w:t>
      </w:r>
      <w:r w:rsidR="00C60FF1" w:rsidRPr="00DA4438">
        <w:t xml:space="preserve">, </w:t>
      </w:r>
      <w:r w:rsidR="003D78F8" w:rsidRPr="00DA4438">
        <w:t>4 déc.</w:t>
      </w:r>
      <w:r w:rsidR="00C60FF1" w:rsidRPr="00DA4438">
        <w:t xml:space="preserve"> 2020. </w:t>
      </w:r>
    </w:p>
    <w:p w14:paraId="4246BBAC" w14:textId="425624DC" w:rsidR="007F3A02" w:rsidRPr="00DA4438" w:rsidRDefault="00D62CB0" w:rsidP="00DA4438">
      <w:r w:rsidRPr="00DA4438">
        <w:t xml:space="preserve">- </w:t>
      </w:r>
      <w:r w:rsidR="007F3A02" w:rsidRPr="00DA4438">
        <w:t xml:space="preserve">« Quand la faculté d’invitation du juge se mue en une obligation d’appeler en la cause », obs. sous </w:t>
      </w:r>
      <w:proofErr w:type="spellStart"/>
      <w:r w:rsidR="007F3A02" w:rsidRPr="00DA4438">
        <w:t>Civ</w:t>
      </w:r>
      <w:proofErr w:type="spellEnd"/>
      <w:r w:rsidR="007F3A02" w:rsidRPr="00DA4438">
        <w:t>. 2</w:t>
      </w:r>
      <w:r w:rsidR="007F3A02" w:rsidRPr="00DA4438">
        <w:rPr>
          <w:vertAlign w:val="superscript"/>
        </w:rPr>
        <w:t>e</w:t>
      </w:r>
      <w:r w:rsidR="007F3A02" w:rsidRPr="00DA4438">
        <w:t>, 25 sept. 2020, n</w:t>
      </w:r>
      <w:r w:rsidR="007F3A02" w:rsidRPr="00DA4438">
        <w:rPr>
          <w:vertAlign w:val="superscript"/>
        </w:rPr>
        <w:t>o</w:t>
      </w:r>
      <w:r w:rsidR="007F3A02" w:rsidRPr="00DA4438">
        <w:t xml:space="preserve"> 19-17009 : </w:t>
      </w:r>
      <w:r w:rsidR="00EB12A7" w:rsidRPr="00DA4438">
        <w:rPr>
          <w:i/>
          <w:iCs/>
        </w:rPr>
        <w:t>Dalloz actualité</w:t>
      </w:r>
      <w:r w:rsidR="00EB12A7" w:rsidRPr="00DA4438">
        <w:t xml:space="preserve">, </w:t>
      </w:r>
      <w:r w:rsidR="00B37AA1" w:rsidRPr="00DA4438">
        <w:t xml:space="preserve">22 oct. 2020. </w:t>
      </w:r>
    </w:p>
    <w:p w14:paraId="7B64842C" w14:textId="5033D0B8" w:rsidR="00B37AA1" w:rsidRPr="00DA4438" w:rsidRDefault="00D62CB0" w:rsidP="00DA4438">
      <w:r w:rsidRPr="00DA4438">
        <w:t xml:space="preserve">- </w:t>
      </w:r>
      <w:r w:rsidR="00B37AA1" w:rsidRPr="00DA4438">
        <w:t xml:space="preserve">« Substitution d’une notification irrégulière par une notification régulière : encore faut-il le préciser », obs. sous </w:t>
      </w:r>
      <w:proofErr w:type="spellStart"/>
      <w:r w:rsidR="00B37AA1" w:rsidRPr="00DA4438">
        <w:t>Civ</w:t>
      </w:r>
      <w:proofErr w:type="spellEnd"/>
      <w:r w:rsidR="00B37AA1" w:rsidRPr="00DA4438">
        <w:t>. 2</w:t>
      </w:r>
      <w:r w:rsidR="00B37AA1" w:rsidRPr="00DA4438">
        <w:rPr>
          <w:vertAlign w:val="superscript"/>
        </w:rPr>
        <w:t>e</w:t>
      </w:r>
      <w:r w:rsidR="00B37AA1" w:rsidRPr="00DA4438">
        <w:t>, 17 sept. 2020, n</w:t>
      </w:r>
      <w:r w:rsidR="00B37AA1" w:rsidRPr="00DA4438">
        <w:rPr>
          <w:vertAlign w:val="superscript"/>
        </w:rPr>
        <w:t>o</w:t>
      </w:r>
      <w:r w:rsidR="00B37AA1" w:rsidRPr="00DA4438">
        <w:t xml:space="preserve"> 19-17360 : </w:t>
      </w:r>
      <w:r w:rsidR="00B37AA1" w:rsidRPr="00DA4438">
        <w:rPr>
          <w:i/>
          <w:iCs/>
        </w:rPr>
        <w:t>Dalloz actualité</w:t>
      </w:r>
      <w:r w:rsidR="00B37AA1" w:rsidRPr="00DA4438">
        <w:t>, 16 oct. 2020</w:t>
      </w:r>
      <w:r w:rsidR="00884EBA" w:rsidRPr="00DA4438">
        <w:t xml:space="preserve">. </w:t>
      </w:r>
    </w:p>
    <w:p w14:paraId="1C54190F" w14:textId="659D6EE5" w:rsidR="00E86B13" w:rsidRPr="00DA4438" w:rsidRDefault="00D62CB0" w:rsidP="00DA4438">
      <w:pPr>
        <w:rPr>
          <w:iCs/>
        </w:rPr>
      </w:pPr>
      <w:r w:rsidRPr="00DA4438">
        <w:t xml:space="preserve">- </w:t>
      </w:r>
      <w:r w:rsidR="00E86B13" w:rsidRPr="00DA4438">
        <w:t>« Maintien</w:t>
      </w:r>
      <w:bookmarkEnd w:id="6"/>
      <w:r w:rsidR="00E86B13" w:rsidRPr="00DA4438">
        <w:t xml:space="preserve"> de l’effet interruptif de prescription et de forclusion de l’acte de saisine irrégulier : rappeler encore et toujours », obs. sous </w:t>
      </w:r>
      <w:proofErr w:type="spellStart"/>
      <w:r w:rsidR="00E86B13" w:rsidRPr="00DA4438">
        <w:rPr>
          <w:rFonts w:eastAsia="Garamond-Italic"/>
          <w:iCs/>
        </w:rPr>
        <w:t>Civ</w:t>
      </w:r>
      <w:proofErr w:type="spellEnd"/>
      <w:r w:rsidR="00E86B13" w:rsidRPr="00DA4438">
        <w:rPr>
          <w:rFonts w:eastAsia="Garamond-Italic"/>
          <w:iCs/>
        </w:rPr>
        <w:t>. 2</w:t>
      </w:r>
      <w:r w:rsidR="00E86B13" w:rsidRPr="00DA4438">
        <w:rPr>
          <w:rFonts w:eastAsia="Garamond-Italic"/>
          <w:iCs/>
          <w:vertAlign w:val="superscript"/>
        </w:rPr>
        <w:t>e</w:t>
      </w:r>
      <w:r w:rsidR="00E86B13" w:rsidRPr="00DA4438">
        <w:rPr>
          <w:rFonts w:eastAsia="Garamond-Italic"/>
          <w:iCs/>
        </w:rPr>
        <w:t>, 17 sept. 2020, n</w:t>
      </w:r>
      <w:r w:rsidR="00E86B13" w:rsidRPr="00DA4438">
        <w:rPr>
          <w:rFonts w:eastAsia="Garamond-Italic"/>
          <w:iCs/>
          <w:vertAlign w:val="superscript"/>
        </w:rPr>
        <w:t>o</w:t>
      </w:r>
      <w:r w:rsidR="00E86B13" w:rsidRPr="00DA4438">
        <w:rPr>
          <w:rFonts w:eastAsia="Garamond-Italic"/>
          <w:iCs/>
        </w:rPr>
        <w:t xml:space="preserve"> 19-18608 : </w:t>
      </w:r>
      <w:r w:rsidR="00EB12A7" w:rsidRPr="00DA4438">
        <w:rPr>
          <w:rFonts w:eastAsia="Garamond-Italic"/>
          <w:i/>
        </w:rPr>
        <w:t>Dalloz actualité</w:t>
      </w:r>
      <w:r w:rsidR="00EB12A7" w:rsidRPr="00DA4438">
        <w:rPr>
          <w:rFonts w:eastAsia="Garamond-Italic"/>
          <w:iCs/>
        </w:rPr>
        <w:t xml:space="preserve">, </w:t>
      </w:r>
      <w:r w:rsidR="00B37AA1" w:rsidRPr="00DA4438">
        <w:rPr>
          <w:rFonts w:eastAsia="Garamond-Italic"/>
          <w:iCs/>
        </w:rPr>
        <w:t xml:space="preserve">12 oct. 2020. </w:t>
      </w:r>
    </w:p>
    <w:p w14:paraId="2A89A8A5" w14:textId="13216207" w:rsidR="006D569D" w:rsidRPr="00DA4438" w:rsidRDefault="00D62CB0" w:rsidP="00DA4438">
      <w:r w:rsidRPr="00DA4438">
        <w:t xml:space="preserve">- </w:t>
      </w:r>
      <w:r w:rsidR="006D569D" w:rsidRPr="00DA4438">
        <w:t xml:space="preserve">« De l’effet interruptif de péremption d’un acte de procédure irrégulier », obs. sous </w:t>
      </w:r>
      <w:proofErr w:type="spellStart"/>
      <w:r w:rsidR="006D569D" w:rsidRPr="00DA4438">
        <w:t>Civ</w:t>
      </w:r>
      <w:proofErr w:type="spellEnd"/>
      <w:r w:rsidR="006D569D" w:rsidRPr="00DA4438">
        <w:t>. 1</w:t>
      </w:r>
      <w:r w:rsidR="006D569D" w:rsidRPr="00DA4438">
        <w:rPr>
          <w:vertAlign w:val="superscript"/>
        </w:rPr>
        <w:t>re</w:t>
      </w:r>
      <w:r w:rsidR="006D569D" w:rsidRPr="00DA4438">
        <w:t>, 18 mars 2020, n</w:t>
      </w:r>
      <w:r w:rsidR="006D569D" w:rsidRPr="00DA4438">
        <w:rPr>
          <w:vertAlign w:val="superscript"/>
        </w:rPr>
        <w:t>o</w:t>
      </w:r>
      <w:r w:rsidR="006D569D" w:rsidRPr="00DA4438">
        <w:t xml:space="preserve"> 19-15160 : </w:t>
      </w:r>
      <w:r w:rsidR="006D569D" w:rsidRPr="00DA4438">
        <w:rPr>
          <w:i/>
          <w:iCs/>
        </w:rPr>
        <w:t>Dalloz actualité</w:t>
      </w:r>
      <w:r w:rsidR="006D569D" w:rsidRPr="00DA4438">
        <w:t xml:space="preserve">, 10 sept. 2020. </w:t>
      </w:r>
    </w:p>
    <w:p w14:paraId="5D5B5DC4" w14:textId="40D4923B" w:rsidR="00A621C5" w:rsidRPr="00DA4438" w:rsidRDefault="00D62CB0" w:rsidP="00DA4438">
      <w:r w:rsidRPr="00DA4438">
        <w:t xml:space="preserve">- </w:t>
      </w:r>
      <w:r w:rsidR="00A621C5" w:rsidRPr="00DA4438">
        <w:t xml:space="preserve">« De l’intérêt du tiers à exercer une tierce opposition », obs. sous </w:t>
      </w:r>
      <w:proofErr w:type="spellStart"/>
      <w:r w:rsidR="00A621C5" w:rsidRPr="00DA4438">
        <w:t>Civ</w:t>
      </w:r>
      <w:proofErr w:type="spellEnd"/>
      <w:r w:rsidR="00A621C5" w:rsidRPr="00DA4438">
        <w:t>. 2</w:t>
      </w:r>
      <w:r w:rsidR="00A621C5" w:rsidRPr="00DA4438">
        <w:rPr>
          <w:vertAlign w:val="superscript"/>
        </w:rPr>
        <w:t>e</w:t>
      </w:r>
      <w:r w:rsidR="00A621C5" w:rsidRPr="00DA4438">
        <w:t>, 2 juill. 2020, n</w:t>
      </w:r>
      <w:r w:rsidR="00A621C5" w:rsidRPr="00DA4438">
        <w:rPr>
          <w:vertAlign w:val="superscript"/>
        </w:rPr>
        <w:t>o</w:t>
      </w:r>
      <w:r w:rsidR="00A621C5" w:rsidRPr="00DA4438">
        <w:t xml:space="preserve"> 19-13616 : </w:t>
      </w:r>
      <w:r w:rsidR="00002C4F" w:rsidRPr="00DA4438">
        <w:rPr>
          <w:i/>
          <w:iCs/>
        </w:rPr>
        <w:t>Dalloz actualité</w:t>
      </w:r>
      <w:r w:rsidR="00002C4F" w:rsidRPr="00DA4438">
        <w:t>, 27 juill. 2020.</w:t>
      </w:r>
    </w:p>
    <w:p w14:paraId="244CE89A" w14:textId="13670BEA" w:rsidR="00376F15" w:rsidRPr="00DA4438" w:rsidRDefault="00D62CB0" w:rsidP="00DA4438">
      <w:r w:rsidRPr="00DA4438">
        <w:t xml:space="preserve">- </w:t>
      </w:r>
      <w:r w:rsidR="000F5AE3" w:rsidRPr="00DA4438">
        <w:t>« Qui préjuge ne saurait juger », obs. sous 4 juin 2020, n</w:t>
      </w:r>
      <w:r w:rsidR="000F5AE3" w:rsidRPr="00DA4438">
        <w:rPr>
          <w:vertAlign w:val="superscript"/>
        </w:rPr>
        <w:t>o</w:t>
      </w:r>
      <w:r w:rsidR="000F5AE3" w:rsidRPr="00DA4438">
        <w:t xml:space="preserve"> 19-10443 : </w:t>
      </w:r>
      <w:r w:rsidR="000F5AE3" w:rsidRPr="00DA4438">
        <w:rPr>
          <w:i/>
          <w:iCs/>
        </w:rPr>
        <w:t xml:space="preserve">Dalloz actualité, </w:t>
      </w:r>
      <w:r w:rsidR="000F5AE3" w:rsidRPr="00DA4438">
        <w:t>25 juin 2020</w:t>
      </w:r>
      <w:r w:rsidR="00002C4F" w:rsidRPr="00DA4438">
        <w:t>.</w:t>
      </w:r>
    </w:p>
    <w:p w14:paraId="6CD6039F" w14:textId="6A685FDD" w:rsidR="000F5AE3" w:rsidRPr="00DA4438" w:rsidRDefault="00D62CB0" w:rsidP="00DA4438">
      <w:r w:rsidRPr="00DA4438">
        <w:t xml:space="preserve">- </w:t>
      </w:r>
      <w:r w:rsidR="000F5AE3" w:rsidRPr="00DA4438">
        <w:t xml:space="preserve">« Entre l’arbitre et le juge étatique, un simple partage de compétence ? », </w:t>
      </w:r>
      <w:r w:rsidR="00A621C5" w:rsidRPr="00DA4438">
        <w:t xml:space="preserve">obs. sous </w:t>
      </w:r>
      <w:proofErr w:type="spellStart"/>
      <w:r w:rsidR="000F5AE3" w:rsidRPr="00DA4438">
        <w:t>Civ</w:t>
      </w:r>
      <w:proofErr w:type="spellEnd"/>
      <w:r w:rsidR="000F5AE3" w:rsidRPr="00DA4438">
        <w:t>. 1</w:t>
      </w:r>
      <w:r w:rsidR="000F5AE3" w:rsidRPr="00DA4438">
        <w:rPr>
          <w:vertAlign w:val="superscript"/>
        </w:rPr>
        <w:t>re</w:t>
      </w:r>
      <w:r w:rsidR="000F5AE3" w:rsidRPr="00DA4438">
        <w:t>, 13 mai 2020, n</w:t>
      </w:r>
      <w:r w:rsidR="000F5AE3" w:rsidRPr="00DA4438">
        <w:rPr>
          <w:vertAlign w:val="superscript"/>
        </w:rPr>
        <w:t>o</w:t>
      </w:r>
      <w:r w:rsidR="000F5AE3" w:rsidRPr="00DA4438">
        <w:t xml:space="preserve"> 18-25966</w:t>
      </w:r>
      <w:r w:rsidR="00A621C5" w:rsidRPr="00DA4438">
        <w:t xml:space="preserve"> : </w:t>
      </w:r>
      <w:r w:rsidR="000F5AE3" w:rsidRPr="00DA4438">
        <w:rPr>
          <w:i/>
          <w:iCs/>
        </w:rPr>
        <w:t>Dalloz actualité</w:t>
      </w:r>
      <w:r w:rsidR="000F5AE3" w:rsidRPr="00DA4438">
        <w:t xml:space="preserve">, 12 juin 2020. </w:t>
      </w:r>
    </w:p>
    <w:p w14:paraId="0CFAA593" w14:textId="77777777" w:rsidR="00D62CB0" w:rsidRPr="00DA4438" w:rsidRDefault="00D62CB0" w:rsidP="00DA4438">
      <w:r w:rsidRPr="00DA4438">
        <w:lastRenderedPageBreak/>
        <w:t xml:space="preserve">- </w:t>
      </w:r>
      <w:r w:rsidR="0057507D" w:rsidRPr="00DA4438">
        <w:t>« </w:t>
      </w:r>
      <w:r w:rsidR="000F5AE3" w:rsidRPr="00DA4438">
        <w:t xml:space="preserve">Le référé-rétractation, distinguer le faux du vrai », obs. sous </w:t>
      </w:r>
      <w:proofErr w:type="spellStart"/>
      <w:r w:rsidR="000F5AE3" w:rsidRPr="00DA4438">
        <w:t>Civ</w:t>
      </w:r>
      <w:proofErr w:type="spellEnd"/>
      <w:r w:rsidR="000F5AE3" w:rsidRPr="00DA4438">
        <w:t>. 2</w:t>
      </w:r>
      <w:r w:rsidR="000F5AE3" w:rsidRPr="00DA4438">
        <w:rPr>
          <w:vertAlign w:val="superscript"/>
        </w:rPr>
        <w:t>e</w:t>
      </w:r>
      <w:r w:rsidR="000F5AE3" w:rsidRPr="00DA4438">
        <w:t>, 19 mars 2020, n</w:t>
      </w:r>
      <w:r w:rsidR="000F5AE3" w:rsidRPr="00DA4438">
        <w:rPr>
          <w:vertAlign w:val="superscript"/>
        </w:rPr>
        <w:t>o</w:t>
      </w:r>
      <w:r w:rsidR="000F5AE3" w:rsidRPr="00DA4438">
        <w:t xml:space="preserve"> 19-11323</w:t>
      </w:r>
      <w:r w:rsidR="00A621C5" w:rsidRPr="00DA4438">
        <w:t xml:space="preserve"> : </w:t>
      </w:r>
      <w:r w:rsidR="000F5AE3" w:rsidRPr="00DA4438">
        <w:rPr>
          <w:i/>
          <w:iCs/>
        </w:rPr>
        <w:t>Dalloz actualité</w:t>
      </w:r>
      <w:r w:rsidR="000F5AE3" w:rsidRPr="00DA4438">
        <w:t xml:space="preserve">, 11 juin 2020. </w:t>
      </w:r>
    </w:p>
    <w:p w14:paraId="1A49DD13" w14:textId="77777777" w:rsidR="00D62CB0" w:rsidRPr="00DA4438" w:rsidRDefault="00D62CB0" w:rsidP="00DA4438">
      <w:r w:rsidRPr="00DA4438">
        <w:t xml:space="preserve">- </w:t>
      </w:r>
      <w:r w:rsidR="00156178" w:rsidRPr="00DA4438">
        <w:t xml:space="preserve">« L’office du juge face à une expertise officieuse », </w:t>
      </w:r>
      <w:r w:rsidR="009F474E" w:rsidRPr="00DA4438">
        <w:t xml:space="preserve">obs. sous </w:t>
      </w:r>
      <w:proofErr w:type="spellStart"/>
      <w:r w:rsidR="009F474E" w:rsidRPr="00DA4438">
        <w:t>Civ</w:t>
      </w:r>
      <w:proofErr w:type="spellEnd"/>
      <w:r w:rsidR="009F474E" w:rsidRPr="00DA4438">
        <w:t>. 3</w:t>
      </w:r>
      <w:r w:rsidR="009F474E" w:rsidRPr="00DA4438">
        <w:rPr>
          <w:vertAlign w:val="superscript"/>
        </w:rPr>
        <w:t>e</w:t>
      </w:r>
      <w:r w:rsidR="009F474E" w:rsidRPr="00DA4438">
        <w:t>, 5 mars 2020, n</w:t>
      </w:r>
      <w:r w:rsidR="009F474E" w:rsidRPr="00DA4438">
        <w:rPr>
          <w:vertAlign w:val="superscript"/>
        </w:rPr>
        <w:t>o</w:t>
      </w:r>
      <w:r w:rsidR="009F474E" w:rsidRPr="00DA4438">
        <w:t xml:space="preserve"> 19-13509 : </w:t>
      </w:r>
      <w:r w:rsidR="00156178" w:rsidRPr="00DA4438">
        <w:rPr>
          <w:i/>
        </w:rPr>
        <w:t>Dalloz actualité</w:t>
      </w:r>
      <w:r w:rsidR="00E4361D" w:rsidRPr="00DA4438">
        <w:rPr>
          <w:iCs/>
        </w:rPr>
        <w:t xml:space="preserve"> 25 mars 2020. </w:t>
      </w:r>
    </w:p>
    <w:p w14:paraId="645225AB" w14:textId="4B6E32D1" w:rsidR="00F2495C" w:rsidRDefault="00D62CB0" w:rsidP="00DA4438">
      <w:r w:rsidRPr="00DA4438">
        <w:t xml:space="preserve">- </w:t>
      </w:r>
      <w:r w:rsidR="00156178" w:rsidRPr="00DA4438">
        <w:t>« Sort du contredit contre une décision déclarant irrecevable la saisine d’une juridiction de proximité »,</w:t>
      </w:r>
      <w:r w:rsidR="009F474E" w:rsidRPr="00DA4438">
        <w:t xml:space="preserve"> obs. sous </w:t>
      </w:r>
      <w:proofErr w:type="spellStart"/>
      <w:r w:rsidR="009F474E" w:rsidRPr="00DA4438">
        <w:t>Civ</w:t>
      </w:r>
      <w:proofErr w:type="spellEnd"/>
      <w:r w:rsidR="009F474E" w:rsidRPr="00DA4438">
        <w:t>. 2</w:t>
      </w:r>
      <w:r w:rsidR="009F474E" w:rsidRPr="00DA4438">
        <w:rPr>
          <w:vertAlign w:val="superscript"/>
        </w:rPr>
        <w:t>e</w:t>
      </w:r>
      <w:r w:rsidR="009F474E" w:rsidRPr="00DA4438">
        <w:t>, 30 janv. 2020, n</w:t>
      </w:r>
      <w:r w:rsidR="009F474E" w:rsidRPr="00DA4438">
        <w:rPr>
          <w:vertAlign w:val="superscript"/>
        </w:rPr>
        <w:t>o</w:t>
      </w:r>
      <w:r w:rsidR="009F474E" w:rsidRPr="00DA4438">
        <w:t xml:space="preserve"> 18-25340 : </w:t>
      </w:r>
      <w:r w:rsidR="00156178" w:rsidRPr="00DA4438">
        <w:rPr>
          <w:i/>
          <w:iCs/>
        </w:rPr>
        <w:t>Dalloz actualité</w:t>
      </w:r>
      <w:r w:rsidR="00156178" w:rsidRPr="00DA4438">
        <w:t>, 21 fév. 2020.</w:t>
      </w:r>
    </w:p>
    <w:p w14:paraId="7E075D86" w14:textId="77777777" w:rsidR="00A84245" w:rsidRDefault="00A84245" w:rsidP="00DA4438"/>
    <w:p w14:paraId="24544798" w14:textId="44BA37EA" w:rsidR="00A84245" w:rsidRPr="00A84245" w:rsidRDefault="00A84245" w:rsidP="00A84245">
      <w:pPr>
        <w:pStyle w:val="Paragraphedeliste"/>
        <w:numPr>
          <w:ilvl w:val="0"/>
          <w:numId w:val="19"/>
        </w:numPr>
        <w:rPr>
          <w:b/>
          <w:bCs/>
          <w:sz w:val="24"/>
          <w:u w:val="single"/>
        </w:rPr>
      </w:pPr>
      <w:r w:rsidRPr="00A84245">
        <w:rPr>
          <w:b/>
          <w:bCs/>
          <w:sz w:val="24"/>
          <w:u w:val="single"/>
        </w:rPr>
        <w:t xml:space="preserve">Colloques et conférences </w:t>
      </w:r>
    </w:p>
    <w:p w14:paraId="62BE33F9" w14:textId="5FDFA23D" w:rsidR="00236B01" w:rsidRPr="00DA4438" w:rsidRDefault="00236B01" w:rsidP="00DA4438">
      <w:pPr>
        <w:rPr>
          <w:bCs/>
        </w:rPr>
      </w:pPr>
    </w:p>
    <w:p w14:paraId="72247380" w14:textId="35FF2EED" w:rsidR="00462DC4" w:rsidRPr="00DA4438" w:rsidRDefault="00462DC4" w:rsidP="00DA4438">
      <w:pPr>
        <w:rPr>
          <w:bCs/>
        </w:rPr>
      </w:pPr>
      <w:r w:rsidRPr="00DA4438">
        <w:rPr>
          <w:bCs/>
        </w:rPr>
        <w:t xml:space="preserve">- Le juge de la mise en état : un juge d’instruction </w:t>
      </w:r>
      <w:proofErr w:type="gramStart"/>
      <w:r w:rsidRPr="00DA4438">
        <w:rPr>
          <w:bCs/>
        </w:rPr>
        <w:t>civil ?,</w:t>
      </w:r>
      <w:proofErr w:type="gramEnd"/>
      <w:r w:rsidR="00092CC8" w:rsidRPr="00DA4438">
        <w:rPr>
          <w:bCs/>
        </w:rPr>
        <w:t xml:space="preserve"> </w:t>
      </w:r>
      <w:r w:rsidR="00092CC8" w:rsidRPr="00DA4438">
        <w:rPr>
          <w:bCs/>
          <w:i/>
          <w:iCs/>
        </w:rPr>
        <w:t>Maison de l’avocat de Nantes</w:t>
      </w:r>
      <w:r w:rsidR="00092CC8" w:rsidRPr="00DA4438">
        <w:rPr>
          <w:bCs/>
        </w:rPr>
        <w:t>, 13 juin 2022.</w:t>
      </w:r>
    </w:p>
    <w:p w14:paraId="4633076F" w14:textId="76EBC903" w:rsidR="00647070" w:rsidRPr="00DA4438" w:rsidRDefault="00647070" w:rsidP="00DA4438">
      <w:pPr>
        <w:rPr>
          <w:bCs/>
        </w:rPr>
      </w:pPr>
      <w:r w:rsidRPr="00DA4438">
        <w:rPr>
          <w:bCs/>
        </w:rPr>
        <w:t xml:space="preserve">- La justice en temps de crise, </w:t>
      </w:r>
      <w:r w:rsidRPr="00DA4438">
        <w:rPr>
          <w:bCs/>
          <w:i/>
          <w:iCs/>
        </w:rPr>
        <w:t>Master 1 – Module Magistrature</w:t>
      </w:r>
      <w:r w:rsidRPr="00DA4438">
        <w:rPr>
          <w:bCs/>
        </w:rPr>
        <w:t>, Nantes</w:t>
      </w:r>
      <w:r w:rsidR="00516CBE" w:rsidRPr="00DA4438">
        <w:rPr>
          <w:bCs/>
        </w:rPr>
        <w:t xml:space="preserve"> Université</w:t>
      </w:r>
      <w:r w:rsidRPr="00DA4438">
        <w:rPr>
          <w:bCs/>
        </w:rPr>
        <w:t xml:space="preserve">, 24 janv. 2022. </w:t>
      </w:r>
    </w:p>
    <w:p w14:paraId="5E9FF19A" w14:textId="54E8F9F1" w:rsidR="00D62CB0" w:rsidRPr="00DA4438" w:rsidRDefault="00D62CB0" w:rsidP="00DA4438">
      <w:pPr>
        <w:rPr>
          <w:bCs/>
        </w:rPr>
      </w:pPr>
      <w:r w:rsidRPr="00DA4438">
        <w:rPr>
          <w:bCs/>
        </w:rPr>
        <w:t xml:space="preserve">- Les mutations contemporaines de la justice, </w:t>
      </w:r>
      <w:r w:rsidRPr="00DA4438">
        <w:rPr>
          <w:bCs/>
          <w:i/>
          <w:iCs/>
        </w:rPr>
        <w:t>Conférence aux élèves de l’Institut Portalis</w:t>
      </w:r>
      <w:r w:rsidRPr="00DA4438">
        <w:rPr>
          <w:bCs/>
        </w:rPr>
        <w:t xml:space="preserve">, </w:t>
      </w:r>
      <w:r w:rsidR="00DB198C" w:rsidRPr="00DA4438">
        <w:rPr>
          <w:bCs/>
        </w:rPr>
        <w:t>Aix-Marseille Université</w:t>
      </w:r>
      <w:r w:rsidRPr="00DA4438">
        <w:rPr>
          <w:bCs/>
        </w:rPr>
        <w:t xml:space="preserve">, 22 mars 2021. </w:t>
      </w:r>
    </w:p>
    <w:p w14:paraId="0C972A37" w14:textId="7BAC6C3F" w:rsidR="00D62CB0" w:rsidRPr="00DA4438" w:rsidRDefault="00D62CB0" w:rsidP="00DA4438">
      <w:r w:rsidRPr="00DA4438">
        <w:rPr>
          <w:bCs/>
        </w:rPr>
        <w:t xml:space="preserve">- </w:t>
      </w:r>
      <w:r w:rsidRPr="00DA4438">
        <w:t xml:space="preserve">Le juge et la déjudiciarisation, </w:t>
      </w:r>
      <w:r w:rsidRPr="00DA4438">
        <w:rPr>
          <w:i/>
          <w:iCs/>
        </w:rPr>
        <w:t>Conférence des doctorants du LDPSC</w:t>
      </w:r>
      <w:r w:rsidRPr="00DA4438">
        <w:t>, déc. 2015.</w:t>
      </w:r>
    </w:p>
    <w:p w14:paraId="6F283F90" w14:textId="72E5B496" w:rsidR="001F235D" w:rsidRDefault="00D62CB0" w:rsidP="00DA4438">
      <w:r w:rsidRPr="00DA4438">
        <w:t xml:space="preserve">- </w:t>
      </w:r>
      <w:r w:rsidR="000B471E" w:rsidRPr="00DA4438">
        <w:t xml:space="preserve">Le respect dû à la justice, </w:t>
      </w:r>
      <w:r w:rsidR="000B471E" w:rsidRPr="00DA4438">
        <w:rPr>
          <w:i/>
          <w:iCs/>
        </w:rPr>
        <w:t>Conférence des doctorants du LDPSC</w:t>
      </w:r>
      <w:r w:rsidR="000B471E" w:rsidRPr="00DA4438">
        <w:t xml:space="preserve">, déc. 2013. </w:t>
      </w:r>
    </w:p>
    <w:p w14:paraId="3A33CF13" w14:textId="77777777" w:rsidR="00A84245" w:rsidRDefault="00A84245" w:rsidP="00DA4438"/>
    <w:p w14:paraId="280B98B9" w14:textId="6606510F" w:rsidR="00A84245" w:rsidRPr="00A84245" w:rsidRDefault="00A84245" w:rsidP="00A84245">
      <w:pPr>
        <w:pStyle w:val="Paragraphedeliste"/>
        <w:numPr>
          <w:ilvl w:val="0"/>
          <w:numId w:val="19"/>
        </w:numPr>
        <w:rPr>
          <w:b/>
          <w:bCs/>
          <w:sz w:val="24"/>
          <w:u w:val="single"/>
        </w:rPr>
      </w:pPr>
      <w:r w:rsidRPr="00A84245">
        <w:rPr>
          <w:b/>
          <w:bCs/>
          <w:sz w:val="24"/>
          <w:u w:val="single"/>
        </w:rPr>
        <w:t>Activités d’encadrement</w:t>
      </w:r>
    </w:p>
    <w:p w14:paraId="43040721" w14:textId="0C9267D7" w:rsidR="004A5ABE" w:rsidRDefault="004A5ABE" w:rsidP="00DA4438"/>
    <w:p w14:paraId="54F122DB" w14:textId="55F84BF6" w:rsidR="00A84245" w:rsidRPr="00A84245" w:rsidRDefault="00A84245" w:rsidP="00DA4438">
      <w:pPr>
        <w:rPr>
          <w:b/>
          <w:bCs/>
        </w:rPr>
      </w:pPr>
      <w:r>
        <w:rPr>
          <w:b/>
          <w:bCs/>
        </w:rPr>
        <w:t xml:space="preserve">Mémoires </w:t>
      </w:r>
    </w:p>
    <w:p w14:paraId="46DFE152" w14:textId="26462107" w:rsidR="00A84245" w:rsidRDefault="00A84245" w:rsidP="00DA4438">
      <w:r>
        <w:t xml:space="preserve">- 2023 : </w:t>
      </w:r>
      <w:r w:rsidR="006F0AEF">
        <w:t>d</w:t>
      </w:r>
      <w:r>
        <w:t xml:space="preserve">irection mémoire M2 Droit privé général (Mme O. Blanchard, </w:t>
      </w:r>
      <w:r w:rsidRPr="006F0AEF">
        <w:rPr>
          <w:i/>
          <w:iCs/>
        </w:rPr>
        <w:t>Proposition d’un droit de la mise en état en appel</w:t>
      </w:r>
      <w:r>
        <w:t>).</w:t>
      </w:r>
    </w:p>
    <w:p w14:paraId="223055B5" w14:textId="37A629D9" w:rsidR="00A84245" w:rsidRDefault="00A84245" w:rsidP="00DA4438">
      <w:r>
        <w:t>- 2021-2023 : Participation</w:t>
      </w:r>
      <w:r w:rsidR="003839EA">
        <w:t xml:space="preserve"> </w:t>
      </w:r>
      <w:r>
        <w:t>soutenance</w:t>
      </w:r>
      <w:r w:rsidR="003839EA">
        <w:t xml:space="preserve"> </w:t>
      </w:r>
      <w:r>
        <w:t>mémoires de M2 droit privé général</w:t>
      </w:r>
    </w:p>
    <w:p w14:paraId="5216624D" w14:textId="77777777" w:rsidR="00A84245" w:rsidRDefault="00A84245" w:rsidP="00DA4438"/>
    <w:p w14:paraId="23550D45" w14:textId="6E203515" w:rsidR="00A84245" w:rsidRDefault="00A84245" w:rsidP="00DA4438">
      <w:r>
        <w:rPr>
          <w:b/>
          <w:bCs/>
        </w:rPr>
        <w:t>Manifestations scientifiques</w:t>
      </w:r>
    </w:p>
    <w:p w14:paraId="7765EBD6" w14:textId="0A01DB96" w:rsidR="00A84245" w:rsidRPr="00DA4438" w:rsidRDefault="00A84245" w:rsidP="00A84245">
      <w:pPr>
        <w:rPr>
          <w:bCs/>
        </w:rPr>
      </w:pPr>
      <w:r>
        <w:t xml:space="preserve">- </w:t>
      </w:r>
      <w:r w:rsidRPr="00DA4438">
        <w:rPr>
          <w:bCs/>
        </w:rPr>
        <w:t xml:space="preserve">Ateliers de droit civil au sein du M1 Justice : conférence de M. A. Boulanger, « Les directives anticipées », </w:t>
      </w:r>
      <w:r w:rsidRPr="00DA4438">
        <w:rPr>
          <w:bCs/>
          <w:i/>
          <w:iCs/>
        </w:rPr>
        <w:t>Nantes Université</w:t>
      </w:r>
      <w:r w:rsidRPr="00DA4438">
        <w:rPr>
          <w:bCs/>
        </w:rPr>
        <w:t xml:space="preserve">, 14 mars 2023. </w:t>
      </w:r>
    </w:p>
    <w:p w14:paraId="2C7E2584" w14:textId="582F595F" w:rsidR="00A84245" w:rsidRPr="00A84245" w:rsidRDefault="00A84245" w:rsidP="00A84245">
      <w:pPr>
        <w:rPr>
          <w:bCs/>
        </w:rPr>
      </w:pPr>
      <w:r w:rsidRPr="00DA4438">
        <w:rPr>
          <w:bCs/>
        </w:rPr>
        <w:t>- Cycle de conférences « Justice et professionnels du droit » : 5</w:t>
      </w:r>
      <w:r w:rsidRPr="00DA4438">
        <w:rPr>
          <w:bCs/>
          <w:vertAlign w:val="superscript"/>
        </w:rPr>
        <w:t>e</w:t>
      </w:r>
      <w:r w:rsidRPr="00DA4438">
        <w:rPr>
          <w:bCs/>
        </w:rPr>
        <w:t xml:space="preserve"> conférence par F. </w:t>
      </w:r>
      <w:proofErr w:type="spellStart"/>
      <w:r w:rsidRPr="00DA4438">
        <w:rPr>
          <w:bCs/>
        </w:rPr>
        <w:t>Molinié</w:t>
      </w:r>
      <w:proofErr w:type="spellEnd"/>
      <w:r w:rsidRPr="00DA4438">
        <w:rPr>
          <w:bCs/>
        </w:rPr>
        <w:t xml:space="preserve">, « Cour de cassation 2030 », </w:t>
      </w:r>
      <w:r w:rsidRPr="00DA4438">
        <w:rPr>
          <w:bCs/>
          <w:i/>
          <w:iCs/>
        </w:rPr>
        <w:t>Nantes Université</w:t>
      </w:r>
      <w:r w:rsidRPr="00DA4438">
        <w:rPr>
          <w:bCs/>
        </w:rPr>
        <w:t>, 10 nov. 2021 ; 6</w:t>
      </w:r>
      <w:r w:rsidRPr="00DA4438">
        <w:rPr>
          <w:bCs/>
          <w:vertAlign w:val="superscript"/>
        </w:rPr>
        <w:t>e</w:t>
      </w:r>
      <w:r w:rsidRPr="00DA4438">
        <w:rPr>
          <w:bCs/>
        </w:rPr>
        <w:t xml:space="preserve"> conférence par S. Vergnolle, « La réalisation juridictionnelle de la protection des données à caractère personnel », </w:t>
      </w:r>
      <w:r w:rsidRPr="00DA4438">
        <w:rPr>
          <w:bCs/>
          <w:i/>
          <w:iCs/>
        </w:rPr>
        <w:t>Nantes Université</w:t>
      </w:r>
      <w:r w:rsidRPr="00DA4438">
        <w:rPr>
          <w:bCs/>
        </w:rPr>
        <w:t>, 1</w:t>
      </w:r>
      <w:r w:rsidRPr="00DA4438">
        <w:rPr>
          <w:bCs/>
          <w:vertAlign w:val="superscript"/>
        </w:rPr>
        <w:t>er</w:t>
      </w:r>
      <w:r w:rsidRPr="00DA4438">
        <w:rPr>
          <w:bCs/>
        </w:rPr>
        <w:t xml:space="preserve"> fév. 2022. </w:t>
      </w:r>
    </w:p>
    <w:p w14:paraId="1276E8EE" w14:textId="77777777" w:rsidR="00A84245" w:rsidRDefault="00A84245" w:rsidP="00DA4438"/>
    <w:p w14:paraId="3E1D3CF4" w14:textId="0E3A0091" w:rsidR="00A84245" w:rsidRPr="00F2495C" w:rsidRDefault="00A84245" w:rsidP="00A84245">
      <w:pPr>
        <w:shd w:val="clear" w:color="auto" w:fill="E7E6E6" w:themeFill="background2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III. ENSEIGNEMENTS   </w:t>
      </w:r>
    </w:p>
    <w:p w14:paraId="169219C5" w14:textId="77777777" w:rsidR="00A84245" w:rsidRDefault="00A84245" w:rsidP="00DA4438"/>
    <w:p w14:paraId="27F0474B" w14:textId="2CF69080" w:rsidR="00A84245" w:rsidRPr="00DA4438" w:rsidRDefault="00A84245" w:rsidP="00A84245">
      <w:pPr>
        <w:ind w:left="2832" w:hanging="2832"/>
        <w:rPr>
          <w:b/>
          <w:bCs/>
        </w:rPr>
      </w:pPr>
      <w:r>
        <w:rPr>
          <w:b/>
          <w:bCs/>
        </w:rPr>
        <w:t>À</w:t>
      </w:r>
      <w:r w:rsidRPr="00DA4438">
        <w:rPr>
          <w:b/>
          <w:bCs/>
        </w:rPr>
        <w:t xml:space="preserve"> Nantes Université</w:t>
      </w:r>
      <w:r>
        <w:rPr>
          <w:b/>
          <w:bCs/>
        </w:rPr>
        <w:t xml:space="preserve"> : </w:t>
      </w:r>
    </w:p>
    <w:p w14:paraId="47EBD1D3" w14:textId="77777777" w:rsidR="00A84245" w:rsidRPr="00DA4438" w:rsidRDefault="00A84245" w:rsidP="00A84245">
      <w:pPr>
        <w:ind w:left="2832" w:hanging="2832"/>
      </w:pPr>
    </w:p>
    <w:p w14:paraId="3CDD73BA" w14:textId="77777777" w:rsidR="00A84245" w:rsidRPr="00DA4438" w:rsidRDefault="00A84245" w:rsidP="00A84245">
      <w:pPr>
        <w:ind w:left="2832" w:hanging="2832"/>
        <w:rPr>
          <w:i/>
          <w:iCs/>
        </w:rPr>
      </w:pPr>
      <w:r w:rsidRPr="00DA4438">
        <w:rPr>
          <w:i/>
          <w:iCs/>
        </w:rPr>
        <w:t xml:space="preserve">Droit judiciaire privé </w:t>
      </w:r>
    </w:p>
    <w:p w14:paraId="16AD8BE0" w14:textId="77777777" w:rsidR="00A84245" w:rsidRPr="00DA4438" w:rsidRDefault="00A84245" w:rsidP="00A84245">
      <w:pPr>
        <w:ind w:left="2832" w:hanging="2832"/>
        <w:rPr>
          <w:i/>
          <w:iCs/>
        </w:rPr>
      </w:pPr>
    </w:p>
    <w:p w14:paraId="1ADBDA08" w14:textId="64B5D175" w:rsidR="00A84245" w:rsidRPr="00DA4438" w:rsidRDefault="00A84245" w:rsidP="00A84245">
      <w:pPr>
        <w:ind w:left="2127" w:hanging="2127"/>
      </w:pPr>
      <w:r w:rsidRPr="00DA4438">
        <w:t xml:space="preserve">Institutions juridictionnelles (L1, </w:t>
      </w:r>
      <w:r>
        <w:t>CM 24H).</w:t>
      </w:r>
    </w:p>
    <w:p w14:paraId="7F482D95" w14:textId="7170ED37" w:rsidR="00A84245" w:rsidRPr="00DA4438" w:rsidRDefault="00A84245" w:rsidP="00A84245">
      <w:pPr>
        <w:ind w:left="2127" w:hanging="2127"/>
      </w:pPr>
      <w:r w:rsidRPr="00DA4438">
        <w:t xml:space="preserve">Administration de la justice (L3 assistant juridique, </w:t>
      </w:r>
      <w:r>
        <w:t>CM 24H)</w:t>
      </w:r>
    </w:p>
    <w:p w14:paraId="0F09B4AD" w14:textId="03AE54E5" w:rsidR="00A84245" w:rsidRPr="00DA4438" w:rsidRDefault="00A84245" w:rsidP="00A84245">
      <w:pPr>
        <w:ind w:left="2127" w:hanging="2127"/>
      </w:pPr>
      <w:r w:rsidRPr="00DA4438">
        <w:t xml:space="preserve">Procédure civile (L3 assistant juridique, </w:t>
      </w:r>
      <w:r>
        <w:t>CM 24H)</w:t>
      </w:r>
    </w:p>
    <w:p w14:paraId="02651AF5" w14:textId="2F1C48CC" w:rsidR="00A84245" w:rsidRPr="00DA4438" w:rsidRDefault="00A84245" w:rsidP="00A84245">
      <w:pPr>
        <w:ind w:left="2127" w:hanging="2127"/>
      </w:pPr>
      <w:r w:rsidRPr="00DA4438">
        <w:t xml:space="preserve">Procédures civiles d’exécution (M1, </w:t>
      </w:r>
      <w:r>
        <w:t>CM 30H)</w:t>
      </w:r>
    </w:p>
    <w:p w14:paraId="7BC7CEC4" w14:textId="7C3CC28C" w:rsidR="00A84245" w:rsidRDefault="00A84245" w:rsidP="00A84245">
      <w:pPr>
        <w:ind w:left="2127" w:hanging="2127"/>
      </w:pPr>
      <w:r w:rsidRPr="00DA4438">
        <w:t xml:space="preserve">Droit judiciaire privé approfondi (M1, </w:t>
      </w:r>
      <w:r>
        <w:t>30H)</w:t>
      </w:r>
    </w:p>
    <w:p w14:paraId="795D12FB" w14:textId="658744AA" w:rsidR="00B64524" w:rsidRDefault="00B64524" w:rsidP="00A84245">
      <w:pPr>
        <w:ind w:left="2127" w:hanging="2127"/>
      </w:pPr>
      <w:r>
        <w:t>Contentieux civil (M2, TD 24H)</w:t>
      </w:r>
    </w:p>
    <w:p w14:paraId="09C2A798" w14:textId="331DF37F" w:rsidR="00B64524" w:rsidRPr="00DA4438" w:rsidRDefault="00B64524" w:rsidP="00A84245">
      <w:pPr>
        <w:ind w:left="2127" w:hanging="2127"/>
      </w:pPr>
      <w:r>
        <w:t>Administration judiciaire de la preuve (M2, TD 4h)</w:t>
      </w:r>
    </w:p>
    <w:p w14:paraId="3B542406" w14:textId="77777777" w:rsidR="00A84245" w:rsidRPr="00DA4438" w:rsidRDefault="00A84245" w:rsidP="00A84245">
      <w:pPr>
        <w:ind w:left="2127" w:hanging="2127"/>
      </w:pPr>
    </w:p>
    <w:p w14:paraId="25F6DD76" w14:textId="77777777" w:rsidR="00A84245" w:rsidRPr="00DA4438" w:rsidRDefault="00A84245" w:rsidP="00A84245">
      <w:pPr>
        <w:ind w:left="2127" w:hanging="2127"/>
        <w:rPr>
          <w:i/>
          <w:iCs/>
        </w:rPr>
      </w:pPr>
      <w:r w:rsidRPr="00DA4438">
        <w:rPr>
          <w:i/>
          <w:iCs/>
        </w:rPr>
        <w:t xml:space="preserve">Droit civil </w:t>
      </w:r>
    </w:p>
    <w:p w14:paraId="0A9AC532" w14:textId="77777777" w:rsidR="00A84245" w:rsidRPr="00DA4438" w:rsidRDefault="00A84245" w:rsidP="00A84245">
      <w:pPr>
        <w:ind w:left="2127" w:hanging="2127"/>
        <w:rPr>
          <w:i/>
          <w:iCs/>
        </w:rPr>
      </w:pPr>
    </w:p>
    <w:p w14:paraId="6E8BD405" w14:textId="61A9D12B" w:rsidR="00A84245" w:rsidRPr="00DA4438" w:rsidRDefault="00A84245" w:rsidP="00A84245">
      <w:pPr>
        <w:ind w:left="2127" w:hanging="2127"/>
      </w:pPr>
      <w:r w:rsidRPr="00DA4438">
        <w:t xml:space="preserve">Grandes notions du droit privé - séance introductive + personne physique (L3, </w:t>
      </w:r>
      <w:r>
        <w:t>CM 3H)</w:t>
      </w:r>
    </w:p>
    <w:p w14:paraId="0551C140" w14:textId="5DDEA74A" w:rsidR="00A84245" w:rsidRPr="00DA4438" w:rsidRDefault="00A84245" w:rsidP="00A84245">
      <w:pPr>
        <w:ind w:left="2127" w:hanging="2127"/>
      </w:pPr>
      <w:r w:rsidRPr="00DA4438">
        <w:t xml:space="preserve">Introduction au droit et droit des personnes (L1, </w:t>
      </w:r>
      <w:r>
        <w:t>36H)</w:t>
      </w:r>
    </w:p>
    <w:p w14:paraId="2C6F6A46" w14:textId="36800C8B" w:rsidR="00A84245" w:rsidRDefault="00A84245" w:rsidP="00A84245">
      <w:pPr>
        <w:ind w:left="2127" w:hanging="2127"/>
      </w:pPr>
      <w:r w:rsidRPr="00DA4438">
        <w:t xml:space="preserve">Droit des obligations (IEJ, </w:t>
      </w:r>
      <w:r>
        <w:t>24H)</w:t>
      </w:r>
    </w:p>
    <w:p w14:paraId="69020D47" w14:textId="77777777" w:rsidR="00F57C54" w:rsidRDefault="00F57C54" w:rsidP="00A84245">
      <w:pPr>
        <w:ind w:left="2127" w:hanging="2127"/>
      </w:pPr>
    </w:p>
    <w:p w14:paraId="2657083A" w14:textId="77777777" w:rsidR="005E2B04" w:rsidRDefault="00F57C54" w:rsidP="005E2B04">
      <w:pPr>
        <w:ind w:left="2127" w:hanging="2127"/>
        <w:rPr>
          <w:b/>
          <w:bCs/>
        </w:rPr>
      </w:pPr>
      <w:r>
        <w:rPr>
          <w:b/>
          <w:bCs/>
        </w:rPr>
        <w:t xml:space="preserve">En dehors de Nantes Université : </w:t>
      </w:r>
    </w:p>
    <w:p w14:paraId="73E7F26A" w14:textId="77777777" w:rsidR="005E2B04" w:rsidRDefault="005E2B04" w:rsidP="005E2B04">
      <w:pPr>
        <w:ind w:left="2127" w:hanging="2127"/>
        <w:rPr>
          <w:b/>
          <w:bCs/>
        </w:rPr>
      </w:pPr>
    </w:p>
    <w:p w14:paraId="40BF63B9" w14:textId="1AE7A81B" w:rsidR="00F57C54" w:rsidRPr="0034653A" w:rsidRDefault="005E2B04" w:rsidP="0034653A">
      <w:pPr>
        <w:rPr>
          <w:bCs/>
        </w:rPr>
      </w:pPr>
      <w:r w:rsidRPr="00DA4438">
        <w:rPr>
          <w:bCs/>
        </w:rPr>
        <w:lastRenderedPageBreak/>
        <w:t>Formations</w:t>
      </w:r>
      <w:r w:rsidR="003440C0">
        <w:rPr>
          <w:bCs/>
        </w:rPr>
        <w:t xml:space="preserve">, </w:t>
      </w:r>
      <w:r w:rsidRPr="00DA4438">
        <w:rPr>
          <w:bCs/>
        </w:rPr>
        <w:t>Tribunaux judiciaires du ressort de la Cour d’appel de Rennes</w:t>
      </w:r>
      <w:r>
        <w:rPr>
          <w:bCs/>
        </w:rPr>
        <w:t xml:space="preserve"> : </w:t>
      </w:r>
      <w:r w:rsidRPr="00DA4438">
        <w:rPr>
          <w:bCs/>
        </w:rPr>
        <w:t>« La nouvelle procédure du</w:t>
      </w:r>
      <w:r>
        <w:rPr>
          <w:bCs/>
        </w:rPr>
        <w:t xml:space="preserve"> </w:t>
      </w:r>
      <w:r w:rsidRPr="00DA4438">
        <w:rPr>
          <w:bCs/>
        </w:rPr>
        <w:t>divorce contentieux » (4h)</w:t>
      </w:r>
      <w:r w:rsidR="0034653A">
        <w:rPr>
          <w:bCs/>
        </w:rPr>
        <w:t xml:space="preserve">, 2022. </w:t>
      </w:r>
    </w:p>
    <w:p w14:paraId="7B7E7C9C" w14:textId="77777777" w:rsidR="00F57C54" w:rsidRPr="00F57C54" w:rsidRDefault="00F57C54" w:rsidP="00444368">
      <w:pPr>
        <w:rPr>
          <w:i/>
          <w:iCs/>
        </w:rPr>
      </w:pPr>
    </w:p>
    <w:p w14:paraId="2EB79F88" w14:textId="77777777" w:rsidR="00B64524" w:rsidRDefault="00B64524" w:rsidP="00DA4438"/>
    <w:p w14:paraId="0B186325" w14:textId="1492A616" w:rsidR="005266FA" w:rsidRPr="006F75E3" w:rsidRDefault="00444368" w:rsidP="005266FA">
      <w:pPr>
        <w:shd w:val="clear" w:color="auto" w:fill="E7E6E6" w:themeFill="background2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IV</w:t>
      </w:r>
      <w:r w:rsidR="005266F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CHARGES PÉDAGOGIQUES ET ADMINISTRATIVES</w:t>
      </w:r>
    </w:p>
    <w:p w14:paraId="41A02A14" w14:textId="77777777" w:rsidR="005266FA" w:rsidRPr="00DA4438" w:rsidRDefault="005266FA" w:rsidP="005266FA"/>
    <w:p w14:paraId="1716603C" w14:textId="7641A96D" w:rsidR="00B679EB" w:rsidRPr="00B679EB" w:rsidRDefault="00B679EB" w:rsidP="00B679EB">
      <w:pPr>
        <w:pStyle w:val="Paragraphedeliste"/>
        <w:numPr>
          <w:ilvl w:val="0"/>
          <w:numId w:val="21"/>
        </w:numPr>
        <w:rPr>
          <w:b/>
          <w:bCs/>
          <w:sz w:val="24"/>
          <w:u w:val="single"/>
        </w:rPr>
      </w:pPr>
      <w:r w:rsidRPr="00B679EB">
        <w:rPr>
          <w:b/>
          <w:bCs/>
          <w:sz w:val="24"/>
          <w:u w:val="single"/>
        </w:rPr>
        <w:t xml:space="preserve">Au sein de </w:t>
      </w:r>
      <w:r w:rsidR="00FA4752">
        <w:rPr>
          <w:b/>
          <w:bCs/>
          <w:sz w:val="24"/>
          <w:u w:val="single"/>
        </w:rPr>
        <w:t xml:space="preserve">la Faculté de droit  </w:t>
      </w:r>
    </w:p>
    <w:p w14:paraId="04FA1512" w14:textId="6AC032D5" w:rsidR="00B679EB" w:rsidRDefault="00B679EB" w:rsidP="00B679EB"/>
    <w:p w14:paraId="23E3A375" w14:textId="366862A6" w:rsidR="00B679EB" w:rsidRPr="006E581C" w:rsidRDefault="00B679EB" w:rsidP="00B679EB">
      <w:pPr>
        <w:rPr>
          <w:i/>
          <w:iCs/>
        </w:rPr>
      </w:pPr>
      <w:r w:rsidRPr="006E581C">
        <w:rPr>
          <w:i/>
          <w:iCs/>
        </w:rPr>
        <w:t>(2022-auj.)</w:t>
      </w:r>
    </w:p>
    <w:p w14:paraId="139778E7" w14:textId="77777777" w:rsidR="00B679EB" w:rsidRDefault="00B679EB" w:rsidP="005266FA">
      <w:pPr>
        <w:ind w:left="2120" w:hanging="2120"/>
      </w:pPr>
    </w:p>
    <w:p w14:paraId="387B1E7A" w14:textId="00109C42" w:rsidR="005266FA" w:rsidRDefault="005266FA" w:rsidP="005266FA">
      <w:pPr>
        <w:ind w:left="2120" w:hanging="2120"/>
      </w:pPr>
      <w:r w:rsidRPr="00DA4438">
        <w:t>Directeur de l’Institut d’études judiciaires</w:t>
      </w:r>
      <w:r w:rsidR="00B679EB">
        <w:t xml:space="preserve"> Yvon </w:t>
      </w:r>
      <w:proofErr w:type="spellStart"/>
      <w:r w:rsidR="00B679EB">
        <w:t>Desdevises</w:t>
      </w:r>
      <w:proofErr w:type="spellEnd"/>
      <w:r w:rsidRPr="00DA4438">
        <w:t xml:space="preserve"> (IEJ)</w:t>
      </w:r>
    </w:p>
    <w:p w14:paraId="4F8F5321" w14:textId="4F7E0586" w:rsidR="006E581C" w:rsidRDefault="006E581C" w:rsidP="005266FA">
      <w:pPr>
        <w:ind w:left="2120" w:hanging="2120"/>
      </w:pPr>
      <w:r>
        <w:t xml:space="preserve">Co-directeur du Master 1 Justice (avec Mme A. </w:t>
      </w:r>
      <w:proofErr w:type="spellStart"/>
      <w:r>
        <w:t>Lebois</w:t>
      </w:r>
      <w:proofErr w:type="spellEnd"/>
      <w:r>
        <w:t>, Mme le Prof. I. Després)</w:t>
      </w:r>
    </w:p>
    <w:p w14:paraId="5F03956E" w14:textId="2F9E8C49" w:rsidR="006E581C" w:rsidRDefault="006E581C" w:rsidP="005266FA">
      <w:pPr>
        <w:ind w:left="2120" w:hanging="2120"/>
      </w:pPr>
      <w:r>
        <w:t>Co-directeur du Master 2 Justice, procès, procédures (avec Mme le Prof. I. Després)</w:t>
      </w:r>
    </w:p>
    <w:p w14:paraId="509DA879" w14:textId="77777777" w:rsidR="0009456B" w:rsidRDefault="0009456B" w:rsidP="005266FA">
      <w:pPr>
        <w:ind w:left="2120" w:hanging="2120"/>
      </w:pPr>
    </w:p>
    <w:p w14:paraId="18992E1C" w14:textId="4123B64E" w:rsidR="0009456B" w:rsidRDefault="0009456B" w:rsidP="005266FA">
      <w:pPr>
        <w:ind w:left="2120" w:hanging="2120"/>
      </w:pPr>
      <w:r>
        <w:rPr>
          <w:i/>
          <w:iCs/>
        </w:rPr>
        <w:t>2022</w:t>
      </w:r>
      <w:r>
        <w:t xml:space="preserve"> </w:t>
      </w:r>
    </w:p>
    <w:p w14:paraId="63323FE8" w14:textId="77777777" w:rsidR="0009456B" w:rsidRDefault="0009456B" w:rsidP="005266FA">
      <w:pPr>
        <w:ind w:left="2120" w:hanging="2120"/>
      </w:pPr>
    </w:p>
    <w:p w14:paraId="0BE4901D" w14:textId="273C596D" w:rsidR="0009456B" w:rsidRPr="0009456B" w:rsidRDefault="0009456B" w:rsidP="005266FA">
      <w:pPr>
        <w:ind w:left="2120" w:hanging="2120"/>
      </w:pPr>
      <w:r>
        <w:t xml:space="preserve">Président </w:t>
      </w:r>
      <w:r w:rsidR="003839EA">
        <w:t>d’un</w:t>
      </w:r>
      <w:r>
        <w:t xml:space="preserve"> </w:t>
      </w:r>
      <w:r w:rsidR="003839EA">
        <w:t>COS</w:t>
      </w:r>
      <w:r>
        <w:t xml:space="preserve"> pour le recrutement d’un enseignant-chercheur LRU. </w:t>
      </w:r>
    </w:p>
    <w:p w14:paraId="5FB84769" w14:textId="77777777" w:rsidR="006E581C" w:rsidRDefault="006E581C" w:rsidP="005266FA">
      <w:pPr>
        <w:ind w:left="2120" w:hanging="2120"/>
      </w:pPr>
    </w:p>
    <w:p w14:paraId="55FCEE00" w14:textId="06D014F1" w:rsidR="006E581C" w:rsidRPr="00FA4752" w:rsidRDefault="006E581C" w:rsidP="006E581C">
      <w:pPr>
        <w:pStyle w:val="Paragraphedeliste"/>
        <w:numPr>
          <w:ilvl w:val="0"/>
          <w:numId w:val="21"/>
        </w:numPr>
        <w:rPr>
          <w:b/>
          <w:bCs/>
          <w:sz w:val="24"/>
          <w:u w:val="single"/>
        </w:rPr>
      </w:pPr>
      <w:r w:rsidRPr="00FA4752">
        <w:rPr>
          <w:b/>
          <w:bCs/>
          <w:sz w:val="24"/>
          <w:u w:val="single"/>
        </w:rPr>
        <w:t>Au sein du Laboratoire (Institut de recherche en droit privé)</w:t>
      </w:r>
    </w:p>
    <w:p w14:paraId="27B35242" w14:textId="77777777" w:rsidR="00B679EB" w:rsidRPr="00DA4438" w:rsidRDefault="00B679EB" w:rsidP="005266FA">
      <w:pPr>
        <w:ind w:left="2120" w:hanging="2120"/>
      </w:pPr>
    </w:p>
    <w:p w14:paraId="3DBA168F" w14:textId="1201C979" w:rsidR="006E581C" w:rsidRPr="006E581C" w:rsidRDefault="006E581C" w:rsidP="005266FA">
      <w:pPr>
        <w:ind w:left="2120" w:hanging="2120"/>
        <w:rPr>
          <w:i/>
          <w:iCs/>
        </w:rPr>
      </w:pPr>
      <w:r w:rsidRPr="006E581C">
        <w:rPr>
          <w:i/>
          <w:iCs/>
        </w:rPr>
        <w:t>(2022-auj)</w:t>
      </w:r>
    </w:p>
    <w:p w14:paraId="525992D8" w14:textId="77777777" w:rsidR="006E581C" w:rsidRDefault="006E581C" w:rsidP="005266FA">
      <w:pPr>
        <w:ind w:left="2120" w:hanging="2120"/>
      </w:pPr>
    </w:p>
    <w:p w14:paraId="34056127" w14:textId="42A7E2F1" w:rsidR="005266FA" w:rsidRDefault="005266FA" w:rsidP="005266FA">
      <w:pPr>
        <w:ind w:left="2120" w:hanging="2120"/>
      </w:pPr>
      <w:r w:rsidRPr="00DA4438">
        <w:t>Membre nommé du Conseil de laboratoire de l’IRDP</w:t>
      </w:r>
    </w:p>
    <w:p w14:paraId="02E4572E" w14:textId="77777777" w:rsidR="00FA4752" w:rsidRDefault="00FA4752" w:rsidP="005266FA">
      <w:pPr>
        <w:ind w:left="2120" w:hanging="2120"/>
      </w:pPr>
    </w:p>
    <w:p w14:paraId="10077CE5" w14:textId="123D1AC5" w:rsidR="008A2D64" w:rsidRDefault="00FA4752" w:rsidP="008A2D64">
      <w:pPr>
        <w:pStyle w:val="Paragraphedeliste"/>
        <w:numPr>
          <w:ilvl w:val="0"/>
          <w:numId w:val="21"/>
        </w:numPr>
        <w:rPr>
          <w:b/>
          <w:bCs/>
          <w:sz w:val="24"/>
          <w:u w:val="single"/>
        </w:rPr>
      </w:pPr>
      <w:r w:rsidRPr="00FA4752">
        <w:rPr>
          <w:b/>
          <w:bCs/>
          <w:sz w:val="24"/>
          <w:u w:val="single"/>
        </w:rPr>
        <w:t xml:space="preserve">En dehors de Nantes Université </w:t>
      </w:r>
    </w:p>
    <w:p w14:paraId="13E6A113" w14:textId="77777777" w:rsidR="00FA4752" w:rsidRDefault="00FA4752" w:rsidP="00FA4752">
      <w:pPr>
        <w:rPr>
          <w:b/>
          <w:bCs/>
          <w:u w:val="single"/>
        </w:rPr>
      </w:pPr>
    </w:p>
    <w:p w14:paraId="7F6C8693" w14:textId="45E83125" w:rsidR="00FA4752" w:rsidRPr="00FA4752" w:rsidRDefault="00FA4752" w:rsidP="00FA4752">
      <w:pPr>
        <w:rPr>
          <w:i/>
          <w:iCs/>
        </w:rPr>
      </w:pPr>
      <w:r w:rsidRPr="00FA4752">
        <w:rPr>
          <w:i/>
          <w:iCs/>
        </w:rPr>
        <w:t>2023</w:t>
      </w:r>
    </w:p>
    <w:p w14:paraId="07B6230F" w14:textId="77777777" w:rsidR="00FA4752" w:rsidRPr="00FA4752" w:rsidRDefault="00FA4752" w:rsidP="00FA4752">
      <w:pPr>
        <w:rPr>
          <w:u w:val="single"/>
        </w:rPr>
      </w:pPr>
    </w:p>
    <w:p w14:paraId="4BE9A92E" w14:textId="3D8A85CA" w:rsidR="00FA4752" w:rsidRPr="00FA4752" w:rsidRDefault="00FA4752" w:rsidP="00FA4752">
      <w:r w:rsidRPr="00FA4752">
        <w:t xml:space="preserve">Membre </w:t>
      </w:r>
      <w:r w:rsidR="00495CF6">
        <w:t xml:space="preserve">extérieur </w:t>
      </w:r>
      <w:r w:rsidRPr="00FA4752">
        <w:t xml:space="preserve">de </w:t>
      </w:r>
      <w:r w:rsidR="00F25C90">
        <w:t>COS</w:t>
      </w:r>
      <w:r w:rsidRPr="00FA4752">
        <w:t xml:space="preserve"> pour le recrutement d’un maître de conférences </w:t>
      </w:r>
      <w:r>
        <w:t xml:space="preserve">(section 01) : Université de Toulouse (Prés. Prof. O. </w:t>
      </w:r>
      <w:proofErr w:type="spellStart"/>
      <w:r>
        <w:t>Debat</w:t>
      </w:r>
      <w:proofErr w:type="spellEnd"/>
      <w:r>
        <w:t xml:space="preserve">), Université de Brest (Prés. Prof. M. </w:t>
      </w:r>
      <w:proofErr w:type="spellStart"/>
      <w:r>
        <w:t>Rebourg</w:t>
      </w:r>
      <w:proofErr w:type="spellEnd"/>
      <w:r>
        <w:t xml:space="preserve">). </w:t>
      </w:r>
    </w:p>
    <w:p w14:paraId="190F3916" w14:textId="2EFB4F92" w:rsidR="00FA4752" w:rsidRDefault="00FA4752" w:rsidP="008A2D64">
      <w:pPr>
        <w:rPr>
          <w:b/>
          <w:bCs/>
          <w:sz w:val="28"/>
          <w:szCs w:val="28"/>
        </w:rPr>
      </w:pPr>
    </w:p>
    <w:p w14:paraId="6004C488" w14:textId="77777777" w:rsidR="0000123A" w:rsidRPr="00DA4438" w:rsidRDefault="0000123A" w:rsidP="008A2D64"/>
    <w:p w14:paraId="572A2191" w14:textId="77777777" w:rsidR="006F75E3" w:rsidRPr="00DA4438" w:rsidRDefault="006F75E3" w:rsidP="006F75E3">
      <w:pPr>
        <w:shd w:val="clear" w:color="auto" w:fill="E7E6E6" w:themeFill="background2"/>
        <w:rPr>
          <w:b/>
          <w:bCs/>
          <w:i/>
          <w:iCs/>
        </w:rPr>
      </w:pPr>
      <w:r w:rsidRPr="00DA4438">
        <w:rPr>
          <w:b/>
          <w:bCs/>
        </w:rPr>
        <w:t>AUTRES</w:t>
      </w:r>
    </w:p>
    <w:p w14:paraId="06568EAC" w14:textId="77777777" w:rsidR="006F75E3" w:rsidRPr="00DA4438" w:rsidRDefault="006F75E3" w:rsidP="006F75E3">
      <w:pPr>
        <w:rPr>
          <w:bCs/>
        </w:rPr>
      </w:pPr>
    </w:p>
    <w:p w14:paraId="41AC0B8A" w14:textId="77777777" w:rsidR="006F75E3" w:rsidRPr="00DA4438" w:rsidRDefault="006F75E3" w:rsidP="006F75E3">
      <w:pPr>
        <w:rPr>
          <w:bCs/>
        </w:rPr>
      </w:pPr>
      <w:r w:rsidRPr="00DA4438">
        <w:rPr>
          <w:bCs/>
        </w:rPr>
        <w:t xml:space="preserve">Langues </w:t>
      </w:r>
      <w:r w:rsidRPr="00DA4438">
        <w:rPr>
          <w:bCs/>
        </w:rPr>
        <w:tab/>
      </w:r>
      <w:r w:rsidRPr="00DA4438">
        <w:rPr>
          <w:bCs/>
        </w:rPr>
        <w:tab/>
        <w:t>Français (langue maternelle)</w:t>
      </w:r>
    </w:p>
    <w:p w14:paraId="004389AC" w14:textId="77777777" w:rsidR="006F75E3" w:rsidRPr="00DA4438" w:rsidRDefault="006F75E3" w:rsidP="006F75E3">
      <w:pPr>
        <w:ind w:left="1416" w:firstLine="708"/>
        <w:rPr>
          <w:bCs/>
        </w:rPr>
      </w:pPr>
      <w:r w:rsidRPr="00DA4438">
        <w:rPr>
          <w:bCs/>
        </w:rPr>
        <w:t>Anglais (lu).</w:t>
      </w:r>
    </w:p>
    <w:p w14:paraId="3A054B79" w14:textId="77777777" w:rsidR="006F75E3" w:rsidRPr="00DA4438" w:rsidRDefault="006F75E3" w:rsidP="006F75E3">
      <w:pPr>
        <w:rPr>
          <w:bCs/>
        </w:rPr>
      </w:pPr>
    </w:p>
    <w:p w14:paraId="782D3F71" w14:textId="77777777" w:rsidR="006F75E3" w:rsidRPr="00DA4438" w:rsidRDefault="006F75E3" w:rsidP="006F75E3">
      <w:pPr>
        <w:rPr>
          <w:bCs/>
        </w:rPr>
      </w:pPr>
      <w:r w:rsidRPr="00DA4438">
        <w:rPr>
          <w:bCs/>
        </w:rPr>
        <w:t xml:space="preserve">Divers </w:t>
      </w:r>
      <w:r w:rsidRPr="00DA4438">
        <w:rPr>
          <w:bCs/>
        </w:rPr>
        <w:tab/>
      </w:r>
      <w:r w:rsidRPr="00DA4438">
        <w:rPr>
          <w:bCs/>
        </w:rPr>
        <w:tab/>
      </w:r>
      <w:r w:rsidRPr="00DA4438">
        <w:rPr>
          <w:bCs/>
        </w:rPr>
        <w:tab/>
        <w:t>Membre de l’association française pour l’histoire de la justice (AFHJ)</w:t>
      </w:r>
    </w:p>
    <w:p w14:paraId="7AE7BC25" w14:textId="31F48DD1" w:rsidR="006F75E3" w:rsidRDefault="006F75E3" w:rsidP="006F75E3">
      <w:pPr>
        <w:ind w:left="1416" w:firstLine="708"/>
        <w:rPr>
          <w:bCs/>
        </w:rPr>
      </w:pPr>
      <w:r w:rsidRPr="00DA4438">
        <w:rPr>
          <w:bCs/>
        </w:rPr>
        <w:t xml:space="preserve">Membre de l’association </w:t>
      </w:r>
      <w:proofErr w:type="spellStart"/>
      <w:r w:rsidRPr="00DA4438">
        <w:rPr>
          <w:bCs/>
        </w:rPr>
        <w:t>Anticor</w:t>
      </w:r>
      <w:proofErr w:type="spellEnd"/>
    </w:p>
    <w:p w14:paraId="001B2BBC" w14:textId="739B2C38" w:rsidR="0000123A" w:rsidRPr="00DA4438" w:rsidRDefault="003463AC" w:rsidP="006F75E3">
      <w:pPr>
        <w:ind w:left="1416" w:firstLine="708"/>
        <w:rPr>
          <w:bCs/>
        </w:rPr>
      </w:pPr>
      <w:r>
        <w:rPr>
          <w:bCs/>
        </w:rPr>
        <w:t>Tennis</w:t>
      </w:r>
      <w:r w:rsidR="0000123A">
        <w:rPr>
          <w:bCs/>
        </w:rPr>
        <w:t xml:space="preserve"> en compétition (</w:t>
      </w:r>
      <w:r w:rsidR="00DB64E5">
        <w:rPr>
          <w:bCs/>
        </w:rPr>
        <w:t>classement actuel : 15/1)</w:t>
      </w:r>
    </w:p>
    <w:p w14:paraId="2729DF70" w14:textId="77777777" w:rsidR="006F75E3" w:rsidRPr="00DA4438" w:rsidRDefault="006F75E3" w:rsidP="006F75E3">
      <w:pPr>
        <w:ind w:left="1416" w:firstLine="708"/>
        <w:rPr>
          <w:bCs/>
        </w:rPr>
      </w:pPr>
    </w:p>
    <w:p w14:paraId="5D001AB2" w14:textId="77777777" w:rsidR="006F75E3" w:rsidRPr="00DA4438" w:rsidRDefault="006F75E3" w:rsidP="00DA4438"/>
    <w:sectPr w:rsidR="006F75E3" w:rsidRPr="00DA4438" w:rsidSect="00CA154C">
      <w:type w:val="continuous"/>
      <w:pgSz w:w="11900" w:h="16840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7B97" w14:textId="77777777" w:rsidR="00C41E1D" w:rsidRDefault="00C41E1D" w:rsidP="00B7730A">
      <w:r>
        <w:separator/>
      </w:r>
    </w:p>
  </w:endnote>
  <w:endnote w:type="continuationSeparator" w:id="0">
    <w:p w14:paraId="2E052729" w14:textId="77777777" w:rsidR="00C41E1D" w:rsidRDefault="00C41E1D" w:rsidP="00B7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Italic">
    <w:altName w:val="Garamond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230C" w14:textId="77777777" w:rsidR="00C41E1D" w:rsidRDefault="00C41E1D" w:rsidP="00B7730A">
      <w:r>
        <w:separator/>
      </w:r>
    </w:p>
  </w:footnote>
  <w:footnote w:type="continuationSeparator" w:id="0">
    <w:p w14:paraId="75D41E25" w14:textId="77777777" w:rsidR="00C41E1D" w:rsidRDefault="00C41E1D" w:rsidP="00B7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3C4"/>
    <w:multiLevelType w:val="hybridMultilevel"/>
    <w:tmpl w:val="7B70F7D4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 w15:restartNumberingAfterBreak="0">
    <w:nsid w:val="14121839"/>
    <w:multiLevelType w:val="hybridMultilevel"/>
    <w:tmpl w:val="2C622254"/>
    <w:lvl w:ilvl="0" w:tplc="4308D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56AE2"/>
    <w:multiLevelType w:val="hybridMultilevel"/>
    <w:tmpl w:val="9A82DD2A"/>
    <w:lvl w:ilvl="0" w:tplc="0C3226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638A"/>
    <w:multiLevelType w:val="hybridMultilevel"/>
    <w:tmpl w:val="CE70355A"/>
    <w:lvl w:ilvl="0" w:tplc="4308D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C3731"/>
    <w:multiLevelType w:val="multilevel"/>
    <w:tmpl w:val="06B6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D7A61"/>
    <w:multiLevelType w:val="hybridMultilevel"/>
    <w:tmpl w:val="81F04C66"/>
    <w:lvl w:ilvl="0" w:tplc="EC16B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463E9"/>
    <w:multiLevelType w:val="hybridMultilevel"/>
    <w:tmpl w:val="9ACE50CA"/>
    <w:lvl w:ilvl="0" w:tplc="0C3226BA">
      <w:start w:val="1"/>
      <w:numFmt w:val="bullet"/>
      <w:lvlText w:val=""/>
      <w:lvlJc w:val="left"/>
      <w:pPr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26E5634C"/>
    <w:multiLevelType w:val="hybridMultilevel"/>
    <w:tmpl w:val="86B40BDE"/>
    <w:lvl w:ilvl="0" w:tplc="3098BF68">
      <w:start w:val="200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2308B"/>
    <w:multiLevelType w:val="hybridMultilevel"/>
    <w:tmpl w:val="2422B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447C"/>
    <w:multiLevelType w:val="hybridMultilevel"/>
    <w:tmpl w:val="3D869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F5242"/>
    <w:multiLevelType w:val="hybridMultilevel"/>
    <w:tmpl w:val="FFD42616"/>
    <w:lvl w:ilvl="0" w:tplc="0C3226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65BFC"/>
    <w:multiLevelType w:val="hybridMultilevel"/>
    <w:tmpl w:val="BFEE9B82"/>
    <w:lvl w:ilvl="0" w:tplc="4308D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44F2"/>
    <w:multiLevelType w:val="hybridMultilevel"/>
    <w:tmpl w:val="FD3EF7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114B9"/>
    <w:multiLevelType w:val="hybridMultilevel"/>
    <w:tmpl w:val="0A329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8E4"/>
    <w:multiLevelType w:val="hybridMultilevel"/>
    <w:tmpl w:val="63867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03213"/>
    <w:multiLevelType w:val="hybridMultilevel"/>
    <w:tmpl w:val="8A52CC52"/>
    <w:lvl w:ilvl="0" w:tplc="0C3226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26D0D"/>
    <w:multiLevelType w:val="multilevel"/>
    <w:tmpl w:val="D8A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1C677F"/>
    <w:multiLevelType w:val="hybridMultilevel"/>
    <w:tmpl w:val="3D64B30E"/>
    <w:lvl w:ilvl="0" w:tplc="0C3226B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83FDF"/>
    <w:multiLevelType w:val="hybridMultilevel"/>
    <w:tmpl w:val="14685DCA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9" w15:restartNumberingAfterBreak="0">
    <w:nsid w:val="7B1E792C"/>
    <w:multiLevelType w:val="hybridMultilevel"/>
    <w:tmpl w:val="DD36F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0442D"/>
    <w:multiLevelType w:val="hybridMultilevel"/>
    <w:tmpl w:val="87403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49757">
    <w:abstractNumId w:val="10"/>
  </w:num>
  <w:num w:numId="2" w16cid:durableId="1511137555">
    <w:abstractNumId w:val="12"/>
  </w:num>
  <w:num w:numId="3" w16cid:durableId="1782147979">
    <w:abstractNumId w:val="8"/>
  </w:num>
  <w:num w:numId="4" w16cid:durableId="179320416">
    <w:abstractNumId w:val="0"/>
  </w:num>
  <w:num w:numId="5" w16cid:durableId="1868567679">
    <w:abstractNumId w:val="14"/>
  </w:num>
  <w:num w:numId="6" w16cid:durableId="325405291">
    <w:abstractNumId w:val="17"/>
  </w:num>
  <w:num w:numId="7" w16cid:durableId="969554514">
    <w:abstractNumId w:val="15"/>
  </w:num>
  <w:num w:numId="8" w16cid:durableId="1214776447">
    <w:abstractNumId w:val="2"/>
  </w:num>
  <w:num w:numId="9" w16cid:durableId="1879707708">
    <w:abstractNumId w:val="6"/>
  </w:num>
  <w:num w:numId="10" w16cid:durableId="180707540">
    <w:abstractNumId w:val="1"/>
  </w:num>
  <w:num w:numId="11" w16cid:durableId="1980644946">
    <w:abstractNumId w:val="16"/>
  </w:num>
  <w:num w:numId="12" w16cid:durableId="1191141637">
    <w:abstractNumId w:val="19"/>
  </w:num>
  <w:num w:numId="13" w16cid:durableId="857696355">
    <w:abstractNumId w:val="20"/>
  </w:num>
  <w:num w:numId="14" w16cid:durableId="791754176">
    <w:abstractNumId w:val="3"/>
  </w:num>
  <w:num w:numId="15" w16cid:durableId="618336187">
    <w:abstractNumId w:val="11"/>
  </w:num>
  <w:num w:numId="16" w16cid:durableId="1226529186">
    <w:abstractNumId w:val="5"/>
  </w:num>
  <w:num w:numId="17" w16cid:durableId="2089617640">
    <w:abstractNumId w:val="18"/>
  </w:num>
  <w:num w:numId="18" w16cid:durableId="1465345601">
    <w:abstractNumId w:val="7"/>
  </w:num>
  <w:num w:numId="19" w16cid:durableId="2076313250">
    <w:abstractNumId w:val="9"/>
  </w:num>
  <w:num w:numId="20" w16cid:durableId="1781027867">
    <w:abstractNumId w:val="4"/>
  </w:num>
  <w:num w:numId="21" w16cid:durableId="12256754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70"/>
    <w:rsid w:val="0000123A"/>
    <w:rsid w:val="00002613"/>
    <w:rsid w:val="00002C4F"/>
    <w:rsid w:val="0000575C"/>
    <w:rsid w:val="00012758"/>
    <w:rsid w:val="00015917"/>
    <w:rsid w:val="00017F1A"/>
    <w:rsid w:val="00021488"/>
    <w:rsid w:val="00022956"/>
    <w:rsid w:val="00022F86"/>
    <w:rsid w:val="00024900"/>
    <w:rsid w:val="000249BD"/>
    <w:rsid w:val="000302AC"/>
    <w:rsid w:val="00034CAE"/>
    <w:rsid w:val="00042320"/>
    <w:rsid w:val="00046FDE"/>
    <w:rsid w:val="00050F61"/>
    <w:rsid w:val="000526AF"/>
    <w:rsid w:val="0005353C"/>
    <w:rsid w:val="0005508C"/>
    <w:rsid w:val="0006048C"/>
    <w:rsid w:val="000706B2"/>
    <w:rsid w:val="00073677"/>
    <w:rsid w:val="000775C4"/>
    <w:rsid w:val="00081319"/>
    <w:rsid w:val="00083DD4"/>
    <w:rsid w:val="00092CC8"/>
    <w:rsid w:val="0009456B"/>
    <w:rsid w:val="00094F79"/>
    <w:rsid w:val="00095C1A"/>
    <w:rsid w:val="000A341C"/>
    <w:rsid w:val="000A5E6D"/>
    <w:rsid w:val="000B341D"/>
    <w:rsid w:val="000B35D3"/>
    <w:rsid w:val="000B471E"/>
    <w:rsid w:val="000B70D2"/>
    <w:rsid w:val="000B7997"/>
    <w:rsid w:val="000D46CB"/>
    <w:rsid w:val="000E19B8"/>
    <w:rsid w:val="000E2A61"/>
    <w:rsid w:val="000E7258"/>
    <w:rsid w:val="000E7C26"/>
    <w:rsid w:val="000E7FE3"/>
    <w:rsid w:val="000F5AE3"/>
    <w:rsid w:val="000F7B1B"/>
    <w:rsid w:val="00100000"/>
    <w:rsid w:val="00101011"/>
    <w:rsid w:val="001012BE"/>
    <w:rsid w:val="001021D5"/>
    <w:rsid w:val="00112EB2"/>
    <w:rsid w:val="00122715"/>
    <w:rsid w:val="00125A51"/>
    <w:rsid w:val="00130DF6"/>
    <w:rsid w:val="00136265"/>
    <w:rsid w:val="001365FA"/>
    <w:rsid w:val="0014221A"/>
    <w:rsid w:val="001442F3"/>
    <w:rsid w:val="0015047A"/>
    <w:rsid w:val="00153D4C"/>
    <w:rsid w:val="00155E52"/>
    <w:rsid w:val="00156178"/>
    <w:rsid w:val="001576C3"/>
    <w:rsid w:val="00164CE8"/>
    <w:rsid w:val="00164EFD"/>
    <w:rsid w:val="00171254"/>
    <w:rsid w:val="00171E0F"/>
    <w:rsid w:val="00174EF5"/>
    <w:rsid w:val="00176CEC"/>
    <w:rsid w:val="00176E3D"/>
    <w:rsid w:val="001810B7"/>
    <w:rsid w:val="001817F3"/>
    <w:rsid w:val="00183713"/>
    <w:rsid w:val="00190862"/>
    <w:rsid w:val="00190AA2"/>
    <w:rsid w:val="00192318"/>
    <w:rsid w:val="001971B6"/>
    <w:rsid w:val="001A5E39"/>
    <w:rsid w:val="001B0173"/>
    <w:rsid w:val="001B1864"/>
    <w:rsid w:val="001B2652"/>
    <w:rsid w:val="001B6282"/>
    <w:rsid w:val="001B635D"/>
    <w:rsid w:val="001B67ED"/>
    <w:rsid w:val="001B7784"/>
    <w:rsid w:val="001C11EC"/>
    <w:rsid w:val="001D00C4"/>
    <w:rsid w:val="001D3966"/>
    <w:rsid w:val="001E054F"/>
    <w:rsid w:val="001E672E"/>
    <w:rsid w:val="001E7698"/>
    <w:rsid w:val="001E78F2"/>
    <w:rsid w:val="001F0BB7"/>
    <w:rsid w:val="001F235D"/>
    <w:rsid w:val="002060EE"/>
    <w:rsid w:val="002158EB"/>
    <w:rsid w:val="002218BC"/>
    <w:rsid w:val="00221D8C"/>
    <w:rsid w:val="00236B01"/>
    <w:rsid w:val="002461C3"/>
    <w:rsid w:val="00247D90"/>
    <w:rsid w:val="00254A09"/>
    <w:rsid w:val="00257CC3"/>
    <w:rsid w:val="002619D8"/>
    <w:rsid w:val="00265171"/>
    <w:rsid w:val="0026598D"/>
    <w:rsid w:val="00274B90"/>
    <w:rsid w:val="002773F4"/>
    <w:rsid w:val="00293A17"/>
    <w:rsid w:val="00297AE2"/>
    <w:rsid w:val="002A000A"/>
    <w:rsid w:val="002A29F9"/>
    <w:rsid w:val="002A324D"/>
    <w:rsid w:val="002A327E"/>
    <w:rsid w:val="002A33A3"/>
    <w:rsid w:val="002A53DA"/>
    <w:rsid w:val="002C0BCB"/>
    <w:rsid w:val="002C1B41"/>
    <w:rsid w:val="002C5B17"/>
    <w:rsid w:val="002D0322"/>
    <w:rsid w:val="002D1E50"/>
    <w:rsid w:val="002D49AE"/>
    <w:rsid w:val="002E4965"/>
    <w:rsid w:val="002E7181"/>
    <w:rsid w:val="002F6007"/>
    <w:rsid w:val="00301594"/>
    <w:rsid w:val="00305133"/>
    <w:rsid w:val="00306253"/>
    <w:rsid w:val="0031733C"/>
    <w:rsid w:val="00334E18"/>
    <w:rsid w:val="00337380"/>
    <w:rsid w:val="003427A0"/>
    <w:rsid w:val="003440C0"/>
    <w:rsid w:val="003453C7"/>
    <w:rsid w:val="00345D2E"/>
    <w:rsid w:val="003463AC"/>
    <w:rsid w:val="0034653A"/>
    <w:rsid w:val="00350DFF"/>
    <w:rsid w:val="00351F97"/>
    <w:rsid w:val="003529C2"/>
    <w:rsid w:val="00353F08"/>
    <w:rsid w:val="003545E0"/>
    <w:rsid w:val="00364B3E"/>
    <w:rsid w:val="00364BDA"/>
    <w:rsid w:val="00364F67"/>
    <w:rsid w:val="00365639"/>
    <w:rsid w:val="003677A8"/>
    <w:rsid w:val="00370AA8"/>
    <w:rsid w:val="003750CA"/>
    <w:rsid w:val="003757C9"/>
    <w:rsid w:val="00376F15"/>
    <w:rsid w:val="003839EA"/>
    <w:rsid w:val="0038541D"/>
    <w:rsid w:val="0039016E"/>
    <w:rsid w:val="0039024E"/>
    <w:rsid w:val="003921E9"/>
    <w:rsid w:val="00394009"/>
    <w:rsid w:val="003974B1"/>
    <w:rsid w:val="003A09E6"/>
    <w:rsid w:val="003D78F8"/>
    <w:rsid w:val="003E09B4"/>
    <w:rsid w:val="003E19E2"/>
    <w:rsid w:val="003E293F"/>
    <w:rsid w:val="003E5919"/>
    <w:rsid w:val="003E5FA6"/>
    <w:rsid w:val="003E6933"/>
    <w:rsid w:val="003E77CC"/>
    <w:rsid w:val="003F2CB3"/>
    <w:rsid w:val="003F54AF"/>
    <w:rsid w:val="00403BEF"/>
    <w:rsid w:val="00403DD6"/>
    <w:rsid w:val="004110AD"/>
    <w:rsid w:val="004119CF"/>
    <w:rsid w:val="00413416"/>
    <w:rsid w:val="00413B08"/>
    <w:rsid w:val="00414460"/>
    <w:rsid w:val="00421069"/>
    <w:rsid w:val="00424B8C"/>
    <w:rsid w:val="00426250"/>
    <w:rsid w:val="00426437"/>
    <w:rsid w:val="0043076D"/>
    <w:rsid w:val="00434A53"/>
    <w:rsid w:val="004350F8"/>
    <w:rsid w:val="0043675D"/>
    <w:rsid w:val="00444368"/>
    <w:rsid w:val="0044437A"/>
    <w:rsid w:val="00444597"/>
    <w:rsid w:val="00451FF0"/>
    <w:rsid w:val="0045246A"/>
    <w:rsid w:val="00452B49"/>
    <w:rsid w:val="00454955"/>
    <w:rsid w:val="00455144"/>
    <w:rsid w:val="00457865"/>
    <w:rsid w:val="00460279"/>
    <w:rsid w:val="00462DC4"/>
    <w:rsid w:val="00463B35"/>
    <w:rsid w:val="004720BE"/>
    <w:rsid w:val="004742D4"/>
    <w:rsid w:val="00484819"/>
    <w:rsid w:val="00487E33"/>
    <w:rsid w:val="00490612"/>
    <w:rsid w:val="00491D08"/>
    <w:rsid w:val="004928F2"/>
    <w:rsid w:val="00495CF6"/>
    <w:rsid w:val="0049657C"/>
    <w:rsid w:val="004A287D"/>
    <w:rsid w:val="004A31A7"/>
    <w:rsid w:val="004A5ABE"/>
    <w:rsid w:val="004A7075"/>
    <w:rsid w:val="004C0A58"/>
    <w:rsid w:val="004C369C"/>
    <w:rsid w:val="004C65A3"/>
    <w:rsid w:val="004D17DB"/>
    <w:rsid w:val="004D5D6B"/>
    <w:rsid w:val="004D7681"/>
    <w:rsid w:val="004E08BD"/>
    <w:rsid w:val="004E22CF"/>
    <w:rsid w:val="004E25E8"/>
    <w:rsid w:val="004E6A8F"/>
    <w:rsid w:val="004E7234"/>
    <w:rsid w:val="004F14CA"/>
    <w:rsid w:val="004F6027"/>
    <w:rsid w:val="004F6819"/>
    <w:rsid w:val="005075E2"/>
    <w:rsid w:val="00512D36"/>
    <w:rsid w:val="00516BCE"/>
    <w:rsid w:val="00516CBE"/>
    <w:rsid w:val="00517F76"/>
    <w:rsid w:val="00522EF1"/>
    <w:rsid w:val="005241BE"/>
    <w:rsid w:val="005266FA"/>
    <w:rsid w:val="00531760"/>
    <w:rsid w:val="00535094"/>
    <w:rsid w:val="0053610A"/>
    <w:rsid w:val="00537AB1"/>
    <w:rsid w:val="00540BF7"/>
    <w:rsid w:val="0054483E"/>
    <w:rsid w:val="005501D2"/>
    <w:rsid w:val="00550611"/>
    <w:rsid w:val="00550A19"/>
    <w:rsid w:val="0055182F"/>
    <w:rsid w:val="0055278B"/>
    <w:rsid w:val="00557BDF"/>
    <w:rsid w:val="00561156"/>
    <w:rsid w:val="005614D0"/>
    <w:rsid w:val="00561624"/>
    <w:rsid w:val="005621E3"/>
    <w:rsid w:val="00565B78"/>
    <w:rsid w:val="00573626"/>
    <w:rsid w:val="005746C9"/>
    <w:rsid w:val="0057507D"/>
    <w:rsid w:val="005772B2"/>
    <w:rsid w:val="00584A7F"/>
    <w:rsid w:val="00584EAC"/>
    <w:rsid w:val="005877D4"/>
    <w:rsid w:val="00591A55"/>
    <w:rsid w:val="00592381"/>
    <w:rsid w:val="005930A9"/>
    <w:rsid w:val="005B0903"/>
    <w:rsid w:val="005B126F"/>
    <w:rsid w:val="005B13D2"/>
    <w:rsid w:val="005B24DA"/>
    <w:rsid w:val="005C1B7D"/>
    <w:rsid w:val="005C5A66"/>
    <w:rsid w:val="005D044E"/>
    <w:rsid w:val="005D15CD"/>
    <w:rsid w:val="005D17AC"/>
    <w:rsid w:val="005E00BD"/>
    <w:rsid w:val="005E0C3A"/>
    <w:rsid w:val="005E2B04"/>
    <w:rsid w:val="005F39D6"/>
    <w:rsid w:val="005F3BF2"/>
    <w:rsid w:val="005F6468"/>
    <w:rsid w:val="00600807"/>
    <w:rsid w:val="006012D8"/>
    <w:rsid w:val="00602100"/>
    <w:rsid w:val="00602916"/>
    <w:rsid w:val="00603580"/>
    <w:rsid w:val="006044EB"/>
    <w:rsid w:val="00611401"/>
    <w:rsid w:val="00612D80"/>
    <w:rsid w:val="00623EBF"/>
    <w:rsid w:val="006262A4"/>
    <w:rsid w:val="00641B28"/>
    <w:rsid w:val="00647070"/>
    <w:rsid w:val="00651236"/>
    <w:rsid w:val="0065607C"/>
    <w:rsid w:val="006560B3"/>
    <w:rsid w:val="00661B41"/>
    <w:rsid w:val="0066344B"/>
    <w:rsid w:val="006634EC"/>
    <w:rsid w:val="00664CDA"/>
    <w:rsid w:val="006712CE"/>
    <w:rsid w:val="00672119"/>
    <w:rsid w:val="00672E4D"/>
    <w:rsid w:val="00675A3A"/>
    <w:rsid w:val="00682B0D"/>
    <w:rsid w:val="00685242"/>
    <w:rsid w:val="00692C22"/>
    <w:rsid w:val="00693995"/>
    <w:rsid w:val="00695A0D"/>
    <w:rsid w:val="0069705B"/>
    <w:rsid w:val="0069798F"/>
    <w:rsid w:val="006A096A"/>
    <w:rsid w:val="006B1C33"/>
    <w:rsid w:val="006B4B87"/>
    <w:rsid w:val="006B5483"/>
    <w:rsid w:val="006B7FAA"/>
    <w:rsid w:val="006C0379"/>
    <w:rsid w:val="006C1A99"/>
    <w:rsid w:val="006C34D8"/>
    <w:rsid w:val="006C3CC4"/>
    <w:rsid w:val="006D0570"/>
    <w:rsid w:val="006D3B14"/>
    <w:rsid w:val="006D4080"/>
    <w:rsid w:val="006D569D"/>
    <w:rsid w:val="006E0721"/>
    <w:rsid w:val="006E1354"/>
    <w:rsid w:val="006E1770"/>
    <w:rsid w:val="006E30D0"/>
    <w:rsid w:val="006E3734"/>
    <w:rsid w:val="006E581C"/>
    <w:rsid w:val="006E7785"/>
    <w:rsid w:val="006F0661"/>
    <w:rsid w:val="006F069B"/>
    <w:rsid w:val="006F0AEF"/>
    <w:rsid w:val="006F75E3"/>
    <w:rsid w:val="007002AA"/>
    <w:rsid w:val="00701BB2"/>
    <w:rsid w:val="00706A2F"/>
    <w:rsid w:val="00711283"/>
    <w:rsid w:val="007129C5"/>
    <w:rsid w:val="00715264"/>
    <w:rsid w:val="0071623F"/>
    <w:rsid w:val="00722019"/>
    <w:rsid w:val="00722FBC"/>
    <w:rsid w:val="00736CD1"/>
    <w:rsid w:val="00754DC3"/>
    <w:rsid w:val="00762A87"/>
    <w:rsid w:val="00764B54"/>
    <w:rsid w:val="007761C4"/>
    <w:rsid w:val="00781030"/>
    <w:rsid w:val="00781371"/>
    <w:rsid w:val="007832F0"/>
    <w:rsid w:val="00783D19"/>
    <w:rsid w:val="00783EDB"/>
    <w:rsid w:val="00785B62"/>
    <w:rsid w:val="00787B76"/>
    <w:rsid w:val="00787FED"/>
    <w:rsid w:val="007A611C"/>
    <w:rsid w:val="007B46DF"/>
    <w:rsid w:val="007B5C64"/>
    <w:rsid w:val="007B64E4"/>
    <w:rsid w:val="007B67DF"/>
    <w:rsid w:val="007C626C"/>
    <w:rsid w:val="007C795D"/>
    <w:rsid w:val="007D166A"/>
    <w:rsid w:val="007D6B71"/>
    <w:rsid w:val="007E22F3"/>
    <w:rsid w:val="007F22BE"/>
    <w:rsid w:val="007F39CA"/>
    <w:rsid w:val="007F3A02"/>
    <w:rsid w:val="007F6CB6"/>
    <w:rsid w:val="00800375"/>
    <w:rsid w:val="00801AAC"/>
    <w:rsid w:val="00806DD7"/>
    <w:rsid w:val="00807C94"/>
    <w:rsid w:val="0081035B"/>
    <w:rsid w:val="0081161D"/>
    <w:rsid w:val="00815FE7"/>
    <w:rsid w:val="00816544"/>
    <w:rsid w:val="0081727D"/>
    <w:rsid w:val="008220BC"/>
    <w:rsid w:val="00826E7E"/>
    <w:rsid w:val="00830056"/>
    <w:rsid w:val="00831BCC"/>
    <w:rsid w:val="00840676"/>
    <w:rsid w:val="00840EDB"/>
    <w:rsid w:val="008463CB"/>
    <w:rsid w:val="008601ED"/>
    <w:rsid w:val="00861449"/>
    <w:rsid w:val="00873317"/>
    <w:rsid w:val="00873555"/>
    <w:rsid w:val="00875652"/>
    <w:rsid w:val="00877128"/>
    <w:rsid w:val="00880B5D"/>
    <w:rsid w:val="00881BB1"/>
    <w:rsid w:val="00884EBA"/>
    <w:rsid w:val="00885327"/>
    <w:rsid w:val="0088596F"/>
    <w:rsid w:val="00887EF0"/>
    <w:rsid w:val="00894DE5"/>
    <w:rsid w:val="00896095"/>
    <w:rsid w:val="008A2D64"/>
    <w:rsid w:val="008C19B9"/>
    <w:rsid w:val="008C3F27"/>
    <w:rsid w:val="008D0594"/>
    <w:rsid w:val="008D7E5B"/>
    <w:rsid w:val="008E4337"/>
    <w:rsid w:val="008F5D22"/>
    <w:rsid w:val="008F6302"/>
    <w:rsid w:val="008F69CB"/>
    <w:rsid w:val="008F776B"/>
    <w:rsid w:val="00900CBB"/>
    <w:rsid w:val="009018DC"/>
    <w:rsid w:val="00905A4D"/>
    <w:rsid w:val="009061D4"/>
    <w:rsid w:val="00912719"/>
    <w:rsid w:val="0091636A"/>
    <w:rsid w:val="009171D6"/>
    <w:rsid w:val="00925209"/>
    <w:rsid w:val="00926445"/>
    <w:rsid w:val="0092668E"/>
    <w:rsid w:val="0093098C"/>
    <w:rsid w:val="00931CE7"/>
    <w:rsid w:val="00935FA2"/>
    <w:rsid w:val="00943AD5"/>
    <w:rsid w:val="0096554E"/>
    <w:rsid w:val="00965685"/>
    <w:rsid w:val="0097638D"/>
    <w:rsid w:val="009769A2"/>
    <w:rsid w:val="00977278"/>
    <w:rsid w:val="00981F14"/>
    <w:rsid w:val="00984110"/>
    <w:rsid w:val="00986BD9"/>
    <w:rsid w:val="009914B2"/>
    <w:rsid w:val="009A27FB"/>
    <w:rsid w:val="009A7762"/>
    <w:rsid w:val="009B3926"/>
    <w:rsid w:val="009C21AD"/>
    <w:rsid w:val="009C69A6"/>
    <w:rsid w:val="009D4C29"/>
    <w:rsid w:val="009E1C32"/>
    <w:rsid w:val="009E3D60"/>
    <w:rsid w:val="009E72CC"/>
    <w:rsid w:val="009F1C71"/>
    <w:rsid w:val="009F2B21"/>
    <w:rsid w:val="009F3A9D"/>
    <w:rsid w:val="009F474E"/>
    <w:rsid w:val="009F610C"/>
    <w:rsid w:val="00A0382E"/>
    <w:rsid w:val="00A05F4B"/>
    <w:rsid w:val="00A06F59"/>
    <w:rsid w:val="00A113FB"/>
    <w:rsid w:val="00A12348"/>
    <w:rsid w:val="00A15C50"/>
    <w:rsid w:val="00A16F4C"/>
    <w:rsid w:val="00A235BC"/>
    <w:rsid w:val="00A24C1E"/>
    <w:rsid w:val="00A328D8"/>
    <w:rsid w:val="00A33BB9"/>
    <w:rsid w:val="00A34581"/>
    <w:rsid w:val="00A35FEE"/>
    <w:rsid w:val="00A364B8"/>
    <w:rsid w:val="00A41763"/>
    <w:rsid w:val="00A4281A"/>
    <w:rsid w:val="00A50697"/>
    <w:rsid w:val="00A526F5"/>
    <w:rsid w:val="00A56803"/>
    <w:rsid w:val="00A621C5"/>
    <w:rsid w:val="00A65185"/>
    <w:rsid w:val="00A70E64"/>
    <w:rsid w:val="00A72199"/>
    <w:rsid w:val="00A8083C"/>
    <w:rsid w:val="00A80B21"/>
    <w:rsid w:val="00A84245"/>
    <w:rsid w:val="00A905D8"/>
    <w:rsid w:val="00A94F61"/>
    <w:rsid w:val="00AA6AD9"/>
    <w:rsid w:val="00AB1AEE"/>
    <w:rsid w:val="00AB42D8"/>
    <w:rsid w:val="00AC647F"/>
    <w:rsid w:val="00AD224C"/>
    <w:rsid w:val="00AD343B"/>
    <w:rsid w:val="00AD39D9"/>
    <w:rsid w:val="00AE02DD"/>
    <w:rsid w:val="00AE5731"/>
    <w:rsid w:val="00AE79B0"/>
    <w:rsid w:val="00AF4637"/>
    <w:rsid w:val="00AF794C"/>
    <w:rsid w:val="00B03506"/>
    <w:rsid w:val="00B05C65"/>
    <w:rsid w:val="00B07D23"/>
    <w:rsid w:val="00B113A7"/>
    <w:rsid w:val="00B22E14"/>
    <w:rsid w:val="00B23019"/>
    <w:rsid w:val="00B36BFA"/>
    <w:rsid w:val="00B372BF"/>
    <w:rsid w:val="00B37AA1"/>
    <w:rsid w:val="00B40D7D"/>
    <w:rsid w:val="00B5011B"/>
    <w:rsid w:val="00B54B4C"/>
    <w:rsid w:val="00B550B6"/>
    <w:rsid w:val="00B5514B"/>
    <w:rsid w:val="00B60289"/>
    <w:rsid w:val="00B608AC"/>
    <w:rsid w:val="00B6324C"/>
    <w:rsid w:val="00B64524"/>
    <w:rsid w:val="00B679EB"/>
    <w:rsid w:val="00B71CF8"/>
    <w:rsid w:val="00B75161"/>
    <w:rsid w:val="00B76C4A"/>
    <w:rsid w:val="00B7730A"/>
    <w:rsid w:val="00B8603A"/>
    <w:rsid w:val="00B87D38"/>
    <w:rsid w:val="00B92332"/>
    <w:rsid w:val="00B937E8"/>
    <w:rsid w:val="00B963AC"/>
    <w:rsid w:val="00BA6BBF"/>
    <w:rsid w:val="00BA7F3C"/>
    <w:rsid w:val="00BB16DB"/>
    <w:rsid w:val="00BB605B"/>
    <w:rsid w:val="00BB745E"/>
    <w:rsid w:val="00BC4191"/>
    <w:rsid w:val="00BC45C2"/>
    <w:rsid w:val="00BC47EE"/>
    <w:rsid w:val="00BD0977"/>
    <w:rsid w:val="00BD2F79"/>
    <w:rsid w:val="00BD739B"/>
    <w:rsid w:val="00BE26F6"/>
    <w:rsid w:val="00BE5113"/>
    <w:rsid w:val="00BF0F1F"/>
    <w:rsid w:val="00BF1390"/>
    <w:rsid w:val="00BF23C9"/>
    <w:rsid w:val="00BF30E6"/>
    <w:rsid w:val="00C0021D"/>
    <w:rsid w:val="00C01997"/>
    <w:rsid w:val="00C03C25"/>
    <w:rsid w:val="00C1145A"/>
    <w:rsid w:val="00C11774"/>
    <w:rsid w:val="00C20D08"/>
    <w:rsid w:val="00C2104D"/>
    <w:rsid w:val="00C22366"/>
    <w:rsid w:val="00C23059"/>
    <w:rsid w:val="00C23BAC"/>
    <w:rsid w:val="00C23BC1"/>
    <w:rsid w:val="00C244B4"/>
    <w:rsid w:val="00C27FC7"/>
    <w:rsid w:val="00C41E1D"/>
    <w:rsid w:val="00C43408"/>
    <w:rsid w:val="00C47AF2"/>
    <w:rsid w:val="00C50C2C"/>
    <w:rsid w:val="00C5636A"/>
    <w:rsid w:val="00C60FF1"/>
    <w:rsid w:val="00C62368"/>
    <w:rsid w:val="00C643F7"/>
    <w:rsid w:val="00C654DF"/>
    <w:rsid w:val="00C94597"/>
    <w:rsid w:val="00C961B3"/>
    <w:rsid w:val="00C97B98"/>
    <w:rsid w:val="00CA154C"/>
    <w:rsid w:val="00CA307E"/>
    <w:rsid w:val="00CB0E4F"/>
    <w:rsid w:val="00CC4BA8"/>
    <w:rsid w:val="00CC5435"/>
    <w:rsid w:val="00CD0F93"/>
    <w:rsid w:val="00CD3072"/>
    <w:rsid w:val="00CE0742"/>
    <w:rsid w:val="00D03D34"/>
    <w:rsid w:val="00D11191"/>
    <w:rsid w:val="00D15411"/>
    <w:rsid w:val="00D17A78"/>
    <w:rsid w:val="00D2484D"/>
    <w:rsid w:val="00D2662B"/>
    <w:rsid w:val="00D2682F"/>
    <w:rsid w:val="00D278E5"/>
    <w:rsid w:val="00D30772"/>
    <w:rsid w:val="00D319C9"/>
    <w:rsid w:val="00D3490C"/>
    <w:rsid w:val="00D4008D"/>
    <w:rsid w:val="00D40C2E"/>
    <w:rsid w:val="00D4132B"/>
    <w:rsid w:val="00D47E00"/>
    <w:rsid w:val="00D51971"/>
    <w:rsid w:val="00D53ABE"/>
    <w:rsid w:val="00D62283"/>
    <w:rsid w:val="00D62CB0"/>
    <w:rsid w:val="00D6369C"/>
    <w:rsid w:val="00D655CD"/>
    <w:rsid w:val="00D65940"/>
    <w:rsid w:val="00D747CE"/>
    <w:rsid w:val="00D80E44"/>
    <w:rsid w:val="00D86112"/>
    <w:rsid w:val="00D8694B"/>
    <w:rsid w:val="00D87133"/>
    <w:rsid w:val="00D87E1E"/>
    <w:rsid w:val="00D966C5"/>
    <w:rsid w:val="00D9752F"/>
    <w:rsid w:val="00D9758E"/>
    <w:rsid w:val="00DA30FC"/>
    <w:rsid w:val="00DA3B73"/>
    <w:rsid w:val="00DA4438"/>
    <w:rsid w:val="00DA4D04"/>
    <w:rsid w:val="00DB081C"/>
    <w:rsid w:val="00DB1861"/>
    <w:rsid w:val="00DB198C"/>
    <w:rsid w:val="00DB64E5"/>
    <w:rsid w:val="00DB7567"/>
    <w:rsid w:val="00DC1437"/>
    <w:rsid w:val="00DC4E33"/>
    <w:rsid w:val="00DC789A"/>
    <w:rsid w:val="00DD3CF4"/>
    <w:rsid w:val="00DD62D0"/>
    <w:rsid w:val="00DE0F26"/>
    <w:rsid w:val="00DE2BB2"/>
    <w:rsid w:val="00DF747D"/>
    <w:rsid w:val="00E00F4B"/>
    <w:rsid w:val="00E01253"/>
    <w:rsid w:val="00E05FCC"/>
    <w:rsid w:val="00E110B9"/>
    <w:rsid w:val="00E15000"/>
    <w:rsid w:val="00E23A68"/>
    <w:rsid w:val="00E24014"/>
    <w:rsid w:val="00E260A6"/>
    <w:rsid w:val="00E27DC5"/>
    <w:rsid w:val="00E33CD0"/>
    <w:rsid w:val="00E361EA"/>
    <w:rsid w:val="00E41922"/>
    <w:rsid w:val="00E4361D"/>
    <w:rsid w:val="00E55CD0"/>
    <w:rsid w:val="00E56B4E"/>
    <w:rsid w:val="00E609ED"/>
    <w:rsid w:val="00E64671"/>
    <w:rsid w:val="00E65388"/>
    <w:rsid w:val="00E668F3"/>
    <w:rsid w:val="00E66BBD"/>
    <w:rsid w:val="00E86B13"/>
    <w:rsid w:val="00E90974"/>
    <w:rsid w:val="00E929CD"/>
    <w:rsid w:val="00E96779"/>
    <w:rsid w:val="00E9743B"/>
    <w:rsid w:val="00EA1612"/>
    <w:rsid w:val="00EA2874"/>
    <w:rsid w:val="00EB12A7"/>
    <w:rsid w:val="00EB3F81"/>
    <w:rsid w:val="00EB4BA4"/>
    <w:rsid w:val="00EB5BE1"/>
    <w:rsid w:val="00EC3BB9"/>
    <w:rsid w:val="00EC42B7"/>
    <w:rsid w:val="00ED216D"/>
    <w:rsid w:val="00ED3B08"/>
    <w:rsid w:val="00EE331C"/>
    <w:rsid w:val="00EE54FC"/>
    <w:rsid w:val="00F00E10"/>
    <w:rsid w:val="00F21F40"/>
    <w:rsid w:val="00F23216"/>
    <w:rsid w:val="00F2495C"/>
    <w:rsid w:val="00F24961"/>
    <w:rsid w:val="00F25C90"/>
    <w:rsid w:val="00F40957"/>
    <w:rsid w:val="00F515F6"/>
    <w:rsid w:val="00F51E41"/>
    <w:rsid w:val="00F53988"/>
    <w:rsid w:val="00F54477"/>
    <w:rsid w:val="00F57C54"/>
    <w:rsid w:val="00F62B6C"/>
    <w:rsid w:val="00F64AE1"/>
    <w:rsid w:val="00F64F04"/>
    <w:rsid w:val="00F70F93"/>
    <w:rsid w:val="00F717BA"/>
    <w:rsid w:val="00F72C9D"/>
    <w:rsid w:val="00F74A71"/>
    <w:rsid w:val="00F80617"/>
    <w:rsid w:val="00F831F7"/>
    <w:rsid w:val="00F872A3"/>
    <w:rsid w:val="00F877F7"/>
    <w:rsid w:val="00F87EFC"/>
    <w:rsid w:val="00F973C6"/>
    <w:rsid w:val="00FA04BF"/>
    <w:rsid w:val="00FA0847"/>
    <w:rsid w:val="00FA44A9"/>
    <w:rsid w:val="00FA4752"/>
    <w:rsid w:val="00FA6A49"/>
    <w:rsid w:val="00FA76CE"/>
    <w:rsid w:val="00FB7AA1"/>
    <w:rsid w:val="00FC0784"/>
    <w:rsid w:val="00FD215C"/>
    <w:rsid w:val="00FD42E3"/>
    <w:rsid w:val="00FD6062"/>
    <w:rsid w:val="00FE661A"/>
    <w:rsid w:val="00FE668F"/>
    <w:rsid w:val="00FE6E20"/>
    <w:rsid w:val="00FE7CF3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0E4E"/>
  <w15:chartTrackingRefBased/>
  <w15:docId w15:val="{E41FFC10-35C8-B945-AB00-D366F367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D64"/>
    <w:pPr>
      <w:jc w:val="both"/>
    </w:pPr>
    <w:rPr>
      <w:rFonts w:ascii="Garamond" w:eastAsia="Times New Roman" w:hAnsi="Garamond" w:cs="Times New Roman"/>
      <w:lang w:eastAsia="fr-FR"/>
    </w:rPr>
  </w:style>
  <w:style w:type="paragraph" w:styleId="Titre1">
    <w:name w:val="heading 1"/>
    <w:basedOn w:val="Normal"/>
    <w:link w:val="Titre1Car"/>
    <w:uiPriority w:val="9"/>
    <w:qFormat/>
    <w:rsid w:val="00492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307E"/>
    <w:pPr>
      <w:spacing w:before="100" w:beforeAutospacing="1" w:after="100" w:afterAutospacing="1"/>
    </w:pPr>
    <w:rPr>
      <w:sz w:val="22"/>
    </w:rPr>
  </w:style>
  <w:style w:type="paragraph" w:styleId="Paragraphedeliste">
    <w:name w:val="List Paragraph"/>
    <w:basedOn w:val="Normal"/>
    <w:uiPriority w:val="34"/>
    <w:qFormat/>
    <w:rsid w:val="00A41763"/>
    <w:pPr>
      <w:ind w:left="720"/>
      <w:contextualSpacing/>
    </w:pPr>
    <w:rPr>
      <w:rFonts w:eastAsiaTheme="minorHAnsi" w:cs="Times New Roman (Corps CS)"/>
      <w:sz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4928F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exposant">
    <w:name w:val="cexposant"/>
    <w:basedOn w:val="Policepardfaut"/>
    <w:rsid w:val="00BF23C9"/>
  </w:style>
  <w:style w:type="character" w:customStyle="1" w:styleId="apple-converted-space">
    <w:name w:val="apple-converted-space"/>
    <w:basedOn w:val="Policepardfaut"/>
    <w:rsid w:val="00BF23C9"/>
  </w:style>
  <w:style w:type="character" w:styleId="Lienhypertexte">
    <w:name w:val="Hyperlink"/>
    <w:basedOn w:val="Policepardfaut"/>
    <w:uiPriority w:val="99"/>
    <w:unhideWhenUsed/>
    <w:rsid w:val="00BF23C9"/>
    <w:rPr>
      <w:color w:val="0000FF"/>
      <w:u w:val="single"/>
    </w:rPr>
  </w:style>
  <w:style w:type="paragraph" w:customStyle="1" w:styleId="cdescriptionsource">
    <w:name w:val="cdescriptionsource"/>
    <w:basedOn w:val="Normal"/>
    <w:rsid w:val="00455144"/>
    <w:pPr>
      <w:spacing w:before="100" w:beforeAutospacing="1" w:after="100" w:afterAutospacing="1"/>
    </w:pPr>
    <w:rPr>
      <w:sz w:val="22"/>
    </w:rPr>
  </w:style>
  <w:style w:type="paragraph" w:styleId="En-tte">
    <w:name w:val="header"/>
    <w:basedOn w:val="Normal"/>
    <w:link w:val="En-tteCar"/>
    <w:uiPriority w:val="99"/>
    <w:unhideWhenUsed/>
    <w:rsid w:val="00B7730A"/>
    <w:pPr>
      <w:tabs>
        <w:tab w:val="center" w:pos="4536"/>
        <w:tab w:val="right" w:pos="9072"/>
      </w:tabs>
    </w:pPr>
    <w:rPr>
      <w:rFonts w:eastAsiaTheme="minorHAnsi" w:cs="Times New Roman (Corps CS)"/>
      <w:sz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7730A"/>
    <w:rPr>
      <w:rFonts w:ascii="Garamond" w:hAnsi="Garamond"/>
    </w:rPr>
  </w:style>
  <w:style w:type="paragraph" w:styleId="Pieddepage">
    <w:name w:val="footer"/>
    <w:basedOn w:val="Normal"/>
    <w:link w:val="PieddepageCar"/>
    <w:uiPriority w:val="99"/>
    <w:unhideWhenUsed/>
    <w:rsid w:val="00B7730A"/>
    <w:pPr>
      <w:tabs>
        <w:tab w:val="center" w:pos="4536"/>
        <w:tab w:val="right" w:pos="9072"/>
      </w:tabs>
    </w:pPr>
    <w:rPr>
      <w:rFonts w:eastAsiaTheme="minorHAnsi" w:cs="Times New Roman (Corps CS)"/>
      <w:sz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7730A"/>
    <w:rPr>
      <w:rFonts w:ascii="Garamond" w:hAnsi="Garamond"/>
    </w:rPr>
  </w:style>
  <w:style w:type="paragraph" w:styleId="Sansinterligne">
    <w:name w:val="No Spacing"/>
    <w:aliases w:val="NBP"/>
    <w:uiPriority w:val="1"/>
    <w:qFormat/>
    <w:rsid w:val="00873317"/>
    <w:pPr>
      <w:jc w:val="both"/>
    </w:pPr>
    <w:rPr>
      <w:rFonts w:ascii="Garamond" w:eastAsiaTheme="minorEastAsia" w:hAnsi="Garamond" w:cstheme="minorBidi"/>
      <w:sz w:val="20"/>
      <w:lang w:eastAsia="ja-JP"/>
    </w:rPr>
  </w:style>
  <w:style w:type="character" w:styleId="Appelnotedebasdep">
    <w:name w:val="footnote reference"/>
    <w:basedOn w:val="Policepardfaut"/>
    <w:uiPriority w:val="99"/>
    <w:unhideWhenUsed/>
    <w:rsid w:val="0087331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7C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7CC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451FF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550A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06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4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6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9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3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sansone@univ-nant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1C326D-D369-4373-857A-91561AAE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2953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SANSONE Guillaume</dc:creator>
  <cp:keywords/>
  <dc:description/>
  <cp:lastModifiedBy>Guillaume Sansone</cp:lastModifiedBy>
  <cp:revision>32</cp:revision>
  <cp:lastPrinted>2021-02-26T10:18:00Z</cp:lastPrinted>
  <dcterms:created xsi:type="dcterms:W3CDTF">2023-07-17T13:44:00Z</dcterms:created>
  <dcterms:modified xsi:type="dcterms:W3CDTF">2023-07-21T09:30:00Z</dcterms:modified>
</cp:coreProperties>
</file>